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8578"/>
        <w:gridCol w:w="2222"/>
      </w:tblGrid>
      <w:tr w:rsidR="0043454D" w14:paraId="5A91726B" w14:textId="77777777" w:rsidTr="0043454D">
        <w:tc>
          <w:tcPr>
            <w:tcW w:w="7045" w:type="dxa"/>
          </w:tcPr>
          <w:p w14:paraId="6A90269E" w14:textId="77777777" w:rsidR="0043454D" w:rsidRDefault="0043454D" w:rsidP="00D43438">
            <w:pPr>
              <w:pStyle w:val="CompanyName"/>
            </w:pPr>
          </w:p>
        </w:tc>
        <w:tc>
          <w:tcPr>
            <w:tcW w:w="1825" w:type="dxa"/>
          </w:tcPr>
          <w:p w14:paraId="37267CE0" w14:textId="77777777" w:rsidR="0043454D" w:rsidRDefault="0043454D" w:rsidP="0043454D">
            <w:pPr>
              <w:pStyle w:val="Logo"/>
            </w:pPr>
          </w:p>
        </w:tc>
      </w:tr>
    </w:tbl>
    <w:p w14:paraId="18DF52EF" w14:textId="77777777" w:rsidR="00407240" w:rsidRPr="0043454D" w:rsidRDefault="00300366" w:rsidP="0043454D">
      <w:pPr>
        <w:pStyle w:val="Heading1"/>
      </w:pPr>
      <w:r w:rsidRPr="0043454D">
        <w:rPr>
          <w:noProof/>
        </w:rPr>
        <w:drawing>
          <wp:anchor distT="0" distB="0" distL="114300" distR="114300" simplePos="0" relativeHeight="251658240" behindDoc="0" locked="0" layoutInCell="1" allowOverlap="1" wp14:anchorId="659AD7E0" wp14:editId="0058938E">
            <wp:simplePos x="0" y="0"/>
            <wp:positionH relativeFrom="margin">
              <wp:align>right</wp:align>
            </wp:positionH>
            <wp:positionV relativeFrom="paragraph">
              <wp:posOffset>-366879</wp:posOffset>
            </wp:positionV>
            <wp:extent cx="1212249" cy="357612"/>
            <wp:effectExtent l="0" t="0" r="6985" b="444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12249" cy="357612"/>
                    </a:xfrm>
                    <a:prstGeom prst="rect">
                      <a:avLst/>
                    </a:prstGeom>
                    <a:noFill/>
                    <a:ln>
                      <a:noFill/>
                    </a:ln>
                  </pic:spPr>
                </pic:pic>
              </a:graphicData>
            </a:graphic>
          </wp:anchor>
        </w:drawing>
      </w:r>
      <w:r w:rsidR="00D43438">
        <w:t xml:space="preserve">Pre-Migration Certification and Training </w:t>
      </w:r>
    </w:p>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1E0" w:firstRow="1" w:lastRow="1" w:firstColumn="1" w:lastColumn="1" w:noHBand="0" w:noVBand="0"/>
      </w:tblPr>
      <w:tblGrid>
        <w:gridCol w:w="2920"/>
        <w:gridCol w:w="7872"/>
      </w:tblGrid>
      <w:tr w:rsidR="00F3153F" w14:paraId="43687AB3" w14:textId="77777777" w:rsidTr="00FA7A52">
        <w:trPr>
          <w:trHeight w:val="216"/>
        </w:trPr>
        <w:tc>
          <w:tcPr>
            <w:tcW w:w="5000" w:type="pct"/>
            <w:gridSpan w:val="2"/>
            <w:shd w:val="clear" w:color="auto" w:fill="DBE5F1" w:themeFill="accent1" w:themeFillTint="33"/>
            <w:vAlign w:val="bottom"/>
          </w:tcPr>
          <w:p w14:paraId="4A7D490E" w14:textId="77777777" w:rsidR="00F3153F" w:rsidRPr="00080433" w:rsidRDefault="00F3153F" w:rsidP="00080433">
            <w:pPr>
              <w:pStyle w:val="Heading2"/>
            </w:pPr>
            <w:r w:rsidRPr="00080433">
              <w:t>COMPANY INFORMATION</w:t>
            </w:r>
          </w:p>
        </w:tc>
      </w:tr>
      <w:tr w:rsidR="00F3153F" w14:paraId="334752BC" w14:textId="77777777" w:rsidTr="00D43438">
        <w:trPr>
          <w:trHeight w:val="360"/>
        </w:trPr>
        <w:tc>
          <w:tcPr>
            <w:tcW w:w="1353" w:type="pct"/>
            <w:vAlign w:val="center"/>
          </w:tcPr>
          <w:p w14:paraId="1A37EBFD" w14:textId="77777777" w:rsidR="00F3153F" w:rsidRPr="00D36A80" w:rsidRDefault="00F3153F" w:rsidP="00F3153F">
            <w:pPr>
              <w:rPr>
                <w:sz w:val="20"/>
                <w:szCs w:val="20"/>
              </w:rPr>
            </w:pPr>
            <w:r w:rsidRPr="00D36A80">
              <w:t xml:space="preserve">Company name: </w:t>
            </w:r>
          </w:p>
        </w:tc>
        <w:tc>
          <w:tcPr>
            <w:tcW w:w="3647" w:type="pct"/>
            <w:vAlign w:val="center"/>
          </w:tcPr>
          <w:p w14:paraId="6E64FCE8" w14:textId="77777777" w:rsidR="00F3153F" w:rsidRPr="00D36A80" w:rsidRDefault="00F3153F" w:rsidP="00F3153F"/>
        </w:tc>
      </w:tr>
      <w:tr w:rsidR="00F3153F" w:rsidRPr="006C1BD5" w14:paraId="718B0F6C" w14:textId="77777777" w:rsidTr="00D43438">
        <w:trPr>
          <w:trHeight w:val="422"/>
        </w:trPr>
        <w:tc>
          <w:tcPr>
            <w:tcW w:w="1353" w:type="pct"/>
            <w:vAlign w:val="center"/>
          </w:tcPr>
          <w:p w14:paraId="523DB2EA" w14:textId="77777777" w:rsidR="00F3153F" w:rsidRDefault="00D43438" w:rsidP="00F3153F">
            <w:r>
              <w:t>Migration Type</w:t>
            </w:r>
            <w:r w:rsidR="00A974CD">
              <w:t>(s)</w:t>
            </w:r>
            <w:r>
              <w:t>:</w:t>
            </w:r>
            <w:r w:rsidR="00F3153F">
              <w:t xml:space="preserve"> </w:t>
            </w:r>
          </w:p>
        </w:tc>
        <w:tc>
          <w:tcPr>
            <w:tcW w:w="3647" w:type="pct"/>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8"/>
              <w:gridCol w:w="1688"/>
              <w:gridCol w:w="1688"/>
            </w:tblGrid>
            <w:tr w:rsidR="00CC063A" w14:paraId="6861365D" w14:textId="77777777" w:rsidTr="00CC063A">
              <w:tc>
                <w:tcPr>
                  <w:tcW w:w="1688" w:type="dxa"/>
                </w:tcPr>
                <w:p w14:paraId="240592D3" w14:textId="77777777" w:rsidR="00CC063A" w:rsidRDefault="00E97EBD" w:rsidP="00CC063A">
                  <w:pPr>
                    <w:autoSpaceDE w:val="0"/>
                    <w:autoSpaceDN w:val="0"/>
                    <w:adjustRightInd w:val="0"/>
                    <w:spacing w:before="0" w:after="0"/>
                  </w:pPr>
                  <w:sdt>
                    <w:sdtPr>
                      <w:alias w:val="Same-Forest"/>
                      <w:tag w:val="Same-Forest"/>
                      <w:id w:val="-1203166825"/>
                      <w14:checkbox>
                        <w14:checked w14:val="0"/>
                        <w14:checkedState w14:val="0052" w14:font="MS Shell Dlg 2"/>
                        <w14:uncheckedState w14:val="00A3" w14:font="MS Shell Dlg 2"/>
                      </w14:checkbox>
                    </w:sdtPr>
                    <w:sdtEndPr/>
                    <w:sdtContent>
                      <w:r w:rsidR="00CC063A">
                        <w:sym w:font="Wingdings 2" w:char="F0A3"/>
                      </w:r>
                    </w:sdtContent>
                  </w:sdt>
                  <w:r w:rsidR="00CC063A">
                    <w:t xml:space="preserve"> Same-Forest</w:t>
                  </w:r>
                </w:p>
              </w:tc>
              <w:tc>
                <w:tcPr>
                  <w:tcW w:w="1688" w:type="dxa"/>
                </w:tcPr>
                <w:p w14:paraId="04DE7E00" w14:textId="77777777" w:rsidR="00CC063A" w:rsidRDefault="00E97EBD" w:rsidP="00CC063A">
                  <w:pPr>
                    <w:autoSpaceDE w:val="0"/>
                    <w:autoSpaceDN w:val="0"/>
                    <w:adjustRightInd w:val="0"/>
                    <w:spacing w:before="0" w:after="0"/>
                  </w:pPr>
                  <w:sdt>
                    <w:sdtPr>
                      <w:alias w:val="Same-Forest"/>
                      <w:tag w:val="Same-Forest"/>
                      <w:id w:val="-1682109385"/>
                      <w14:checkbox>
                        <w14:checked w14:val="0"/>
                        <w14:checkedState w14:val="0052" w14:font="MS Shell Dlg 2"/>
                        <w14:uncheckedState w14:val="00A3" w14:font="MS Shell Dlg 2"/>
                      </w14:checkbox>
                    </w:sdtPr>
                    <w:sdtEndPr/>
                    <w:sdtContent>
                      <w:r w:rsidR="00CC063A">
                        <w:sym w:font="Wingdings 2" w:char="F0A3"/>
                      </w:r>
                    </w:sdtContent>
                  </w:sdt>
                  <w:r w:rsidR="00CC063A">
                    <w:t xml:space="preserve"> Cross-Forest</w:t>
                  </w:r>
                </w:p>
              </w:tc>
              <w:tc>
                <w:tcPr>
                  <w:tcW w:w="1688" w:type="dxa"/>
                </w:tcPr>
                <w:p w14:paraId="66947534" w14:textId="77777777" w:rsidR="00CC063A" w:rsidRDefault="00E97EBD" w:rsidP="00CC063A">
                  <w:pPr>
                    <w:autoSpaceDE w:val="0"/>
                    <w:autoSpaceDN w:val="0"/>
                    <w:adjustRightInd w:val="0"/>
                    <w:spacing w:before="0" w:after="0"/>
                  </w:pPr>
                  <w:sdt>
                    <w:sdtPr>
                      <w:alias w:val="Same-Forest"/>
                      <w:tag w:val="Same-Forest"/>
                      <w:id w:val="-380793527"/>
                      <w14:checkbox>
                        <w14:checked w14:val="0"/>
                        <w14:checkedState w14:val="0052" w14:font="MS Shell Dlg 2"/>
                        <w14:uncheckedState w14:val="00A3" w14:font="MS Shell Dlg 2"/>
                      </w14:checkbox>
                    </w:sdtPr>
                    <w:sdtEndPr/>
                    <w:sdtContent>
                      <w:r w:rsidR="00CC063A">
                        <w:sym w:font="Wingdings 2" w:char="F0A3"/>
                      </w:r>
                    </w:sdtContent>
                  </w:sdt>
                  <w:r w:rsidR="00CC063A">
                    <w:t xml:space="preserve"> Office 365</w:t>
                  </w:r>
                </w:p>
              </w:tc>
            </w:tr>
          </w:tbl>
          <w:p w14:paraId="746F6BE4" w14:textId="77777777" w:rsidR="00F3153F" w:rsidRDefault="00F3153F" w:rsidP="00F3153F"/>
        </w:tc>
      </w:tr>
      <w:tr w:rsidR="00F3153F" w14:paraId="2E128631" w14:textId="77777777" w:rsidTr="00D43438">
        <w:trPr>
          <w:trHeight w:val="360"/>
        </w:trPr>
        <w:tc>
          <w:tcPr>
            <w:tcW w:w="1353" w:type="pct"/>
            <w:vAlign w:val="center"/>
          </w:tcPr>
          <w:p w14:paraId="7EDB9D57" w14:textId="77777777" w:rsidR="00F3153F" w:rsidRPr="00EE40E1" w:rsidRDefault="00D43438" w:rsidP="00F3153F">
            <w:r>
              <w:t>Mailbox Count:</w:t>
            </w:r>
          </w:p>
        </w:tc>
        <w:tc>
          <w:tcPr>
            <w:tcW w:w="3647" w:type="pct"/>
            <w:vAlign w:val="center"/>
          </w:tcPr>
          <w:p w14:paraId="4A2FFD3A" w14:textId="77777777" w:rsidR="00F3153F" w:rsidRPr="00EE40E1" w:rsidRDefault="00F3153F" w:rsidP="00F3153F"/>
        </w:tc>
      </w:tr>
      <w:tr w:rsidR="00F3153F" w14:paraId="23A967C2" w14:textId="77777777" w:rsidTr="00D43438">
        <w:trPr>
          <w:trHeight w:val="360"/>
        </w:trPr>
        <w:tc>
          <w:tcPr>
            <w:tcW w:w="1353" w:type="pct"/>
            <w:vAlign w:val="center"/>
          </w:tcPr>
          <w:p w14:paraId="17B2E3C3" w14:textId="77777777" w:rsidR="00F3153F" w:rsidRPr="00EE40E1" w:rsidRDefault="00D43438" w:rsidP="00F3153F">
            <w:r>
              <w:t>Has Public Folders?</w:t>
            </w:r>
            <w:r w:rsidR="00F3153F">
              <w:t xml:space="preserve"> </w:t>
            </w:r>
          </w:p>
        </w:tc>
        <w:tc>
          <w:tcPr>
            <w:tcW w:w="3647" w:type="pct"/>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1"/>
              <w:gridCol w:w="2251"/>
              <w:gridCol w:w="2251"/>
            </w:tblGrid>
            <w:tr w:rsidR="00AD7B87" w14:paraId="046624E3" w14:textId="77777777" w:rsidTr="004E67DC">
              <w:tc>
                <w:tcPr>
                  <w:tcW w:w="2251" w:type="dxa"/>
                </w:tcPr>
                <w:p w14:paraId="44D88123" w14:textId="77777777" w:rsidR="00AD7B87" w:rsidRDefault="00E97EBD" w:rsidP="00AD7B87">
                  <w:sdt>
                    <w:sdtPr>
                      <w:alias w:val="Same-Forest"/>
                      <w:tag w:val="Same-Forest"/>
                      <w:id w:val="-1352715090"/>
                      <w14:checkbox>
                        <w14:checked w14:val="0"/>
                        <w14:checkedState w14:val="0052" w14:font="MS Shell Dlg 2"/>
                        <w14:uncheckedState w14:val="00A3" w14:font="MS Shell Dlg 2"/>
                      </w14:checkbox>
                    </w:sdtPr>
                    <w:sdtEndPr/>
                    <w:sdtContent>
                      <w:r w:rsidR="00AD7B87">
                        <w:sym w:font="Wingdings 2" w:char="F0A3"/>
                      </w:r>
                    </w:sdtContent>
                  </w:sdt>
                  <w:r w:rsidR="00AD7B87">
                    <w:t xml:space="preserve"> Yes</w:t>
                  </w:r>
                </w:p>
              </w:tc>
              <w:tc>
                <w:tcPr>
                  <w:tcW w:w="2251" w:type="dxa"/>
                </w:tcPr>
                <w:p w14:paraId="40DEF8A0" w14:textId="77777777" w:rsidR="00AD7B87" w:rsidRDefault="00E97EBD" w:rsidP="00AD7B87">
                  <w:sdt>
                    <w:sdtPr>
                      <w:alias w:val="Same-Forest"/>
                      <w:tag w:val="Same-Forest"/>
                      <w:id w:val="957603339"/>
                      <w14:checkbox>
                        <w14:checked w14:val="0"/>
                        <w14:checkedState w14:val="0052" w14:font="MS Shell Dlg 2"/>
                        <w14:uncheckedState w14:val="00A3" w14:font="MS Shell Dlg 2"/>
                      </w14:checkbox>
                    </w:sdtPr>
                    <w:sdtEndPr/>
                    <w:sdtContent>
                      <w:r w:rsidR="00AD7B87">
                        <w:sym w:font="Wingdings 2" w:char="F0A3"/>
                      </w:r>
                    </w:sdtContent>
                  </w:sdt>
                  <w:r w:rsidR="00AD7B87">
                    <w:t xml:space="preserve"> No</w:t>
                  </w:r>
                </w:p>
              </w:tc>
              <w:tc>
                <w:tcPr>
                  <w:tcW w:w="2251" w:type="dxa"/>
                </w:tcPr>
                <w:p w14:paraId="44F4F4F5" w14:textId="77777777" w:rsidR="00AD7B87" w:rsidRDefault="00AD7B87" w:rsidP="00AD7B87"/>
              </w:tc>
            </w:tr>
          </w:tbl>
          <w:p w14:paraId="5DA1CFAF" w14:textId="77777777" w:rsidR="00F3153F" w:rsidRPr="00EE40E1" w:rsidRDefault="00F3153F" w:rsidP="00F3153F"/>
        </w:tc>
      </w:tr>
      <w:tr w:rsidR="00F3153F" w14:paraId="419ED8DB" w14:textId="77777777" w:rsidTr="00D43438">
        <w:trPr>
          <w:trHeight w:val="360"/>
        </w:trPr>
        <w:tc>
          <w:tcPr>
            <w:tcW w:w="1353" w:type="pct"/>
            <w:vAlign w:val="center"/>
          </w:tcPr>
          <w:p w14:paraId="34FE48A1" w14:textId="77777777" w:rsidR="00F3153F" w:rsidRDefault="00D43438" w:rsidP="00F3153F">
            <w:r>
              <w:t>Source Exchange Version(s):</w:t>
            </w:r>
            <w:r w:rsidR="00F3153F">
              <w:t xml:space="preserve"> </w:t>
            </w:r>
          </w:p>
        </w:tc>
        <w:tc>
          <w:tcPr>
            <w:tcW w:w="3647" w:type="pct"/>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
              <w:gridCol w:w="900"/>
              <w:gridCol w:w="900"/>
              <w:gridCol w:w="900"/>
              <w:gridCol w:w="990"/>
              <w:gridCol w:w="900"/>
              <w:gridCol w:w="900"/>
              <w:gridCol w:w="1308"/>
            </w:tblGrid>
            <w:tr w:rsidR="001C0E43" w14:paraId="5EB515FD" w14:textId="77777777" w:rsidTr="00603A8A">
              <w:tc>
                <w:tcPr>
                  <w:tcW w:w="855" w:type="dxa"/>
                  <w:noWrap/>
                </w:tcPr>
                <w:p w14:paraId="1A352973" w14:textId="77777777" w:rsidR="001C0E43" w:rsidRDefault="00E97EBD" w:rsidP="001C0E43">
                  <w:sdt>
                    <w:sdtPr>
                      <w:alias w:val="Same-Forest"/>
                      <w:tag w:val="Same-Forest"/>
                      <w:id w:val="-405155048"/>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2000</w:t>
                  </w:r>
                </w:p>
              </w:tc>
              <w:tc>
                <w:tcPr>
                  <w:tcW w:w="900" w:type="dxa"/>
                </w:tcPr>
                <w:p w14:paraId="0483D5E8" w14:textId="77777777" w:rsidR="001C0E43" w:rsidRDefault="00E97EBD" w:rsidP="001C0E43">
                  <w:sdt>
                    <w:sdtPr>
                      <w:alias w:val="Same-Forest"/>
                      <w:tag w:val="Same-Forest"/>
                      <w:id w:val="-1544352305"/>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2003</w:t>
                  </w:r>
                </w:p>
              </w:tc>
              <w:tc>
                <w:tcPr>
                  <w:tcW w:w="900" w:type="dxa"/>
                </w:tcPr>
                <w:p w14:paraId="50B1D070" w14:textId="77777777" w:rsidR="001C0E43" w:rsidRDefault="00E97EBD" w:rsidP="001C0E43">
                  <w:sdt>
                    <w:sdtPr>
                      <w:alias w:val="Same-Forest"/>
                      <w:tag w:val="Same-Forest"/>
                      <w:id w:val="446124530"/>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2007</w:t>
                  </w:r>
                </w:p>
              </w:tc>
              <w:tc>
                <w:tcPr>
                  <w:tcW w:w="900" w:type="dxa"/>
                </w:tcPr>
                <w:p w14:paraId="50964A81" w14:textId="77777777" w:rsidR="001C0E43" w:rsidRDefault="00E97EBD" w:rsidP="001C0E43">
                  <w:sdt>
                    <w:sdtPr>
                      <w:alias w:val="Same-Forest"/>
                      <w:tag w:val="Same-Forest"/>
                      <w:id w:val="-2053995764"/>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2010</w:t>
                  </w:r>
                </w:p>
              </w:tc>
              <w:tc>
                <w:tcPr>
                  <w:tcW w:w="990" w:type="dxa"/>
                </w:tcPr>
                <w:p w14:paraId="30B50D55" w14:textId="77777777" w:rsidR="001C0E43" w:rsidRDefault="00E97EBD" w:rsidP="001C0E43">
                  <w:sdt>
                    <w:sdtPr>
                      <w:alias w:val="Same-Forest"/>
                      <w:tag w:val="Same-Forest"/>
                      <w:id w:val="-2065864843"/>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2013</w:t>
                  </w:r>
                </w:p>
              </w:tc>
              <w:tc>
                <w:tcPr>
                  <w:tcW w:w="900" w:type="dxa"/>
                </w:tcPr>
                <w:p w14:paraId="45D7E356" w14:textId="133A7EA7" w:rsidR="001C0E43" w:rsidRDefault="00E97EBD" w:rsidP="001C0E43">
                  <w:sdt>
                    <w:sdtPr>
                      <w:alias w:val="Same-Forest"/>
                      <w:tag w:val="Same-Forest"/>
                      <w:id w:val="375052850"/>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2016</w:t>
                  </w:r>
                </w:p>
              </w:tc>
              <w:tc>
                <w:tcPr>
                  <w:tcW w:w="900" w:type="dxa"/>
                </w:tcPr>
                <w:p w14:paraId="2CCD40E2" w14:textId="07425444" w:rsidR="001C0E43" w:rsidRDefault="00E97EBD" w:rsidP="001C0E43">
                  <w:sdt>
                    <w:sdtPr>
                      <w:alias w:val="Same-Forest"/>
                      <w:tag w:val="Same-Forest"/>
                      <w:id w:val="1546101437"/>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2019</w:t>
                  </w:r>
                </w:p>
              </w:tc>
              <w:tc>
                <w:tcPr>
                  <w:tcW w:w="1308" w:type="dxa"/>
                </w:tcPr>
                <w:p w14:paraId="593EF11F" w14:textId="77777777" w:rsidR="001C0E43" w:rsidRDefault="00E97EBD" w:rsidP="001C0E43">
                  <w:sdt>
                    <w:sdtPr>
                      <w:alias w:val="Same-Forest"/>
                      <w:tag w:val="Same-Forest"/>
                      <w:id w:val="-804690830"/>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Office365</w:t>
                  </w:r>
                </w:p>
              </w:tc>
            </w:tr>
          </w:tbl>
          <w:p w14:paraId="6419820B" w14:textId="77777777" w:rsidR="00F3153F" w:rsidRDefault="00F3153F" w:rsidP="00F3153F"/>
        </w:tc>
      </w:tr>
      <w:tr w:rsidR="00F3153F" w14:paraId="00B632B5" w14:textId="77777777" w:rsidTr="00D43438">
        <w:trPr>
          <w:trHeight w:val="360"/>
        </w:trPr>
        <w:tc>
          <w:tcPr>
            <w:tcW w:w="1353" w:type="pct"/>
            <w:vAlign w:val="center"/>
          </w:tcPr>
          <w:p w14:paraId="05F222E1" w14:textId="77777777" w:rsidR="00F3153F" w:rsidRDefault="00D43438" w:rsidP="00F3153F">
            <w:r>
              <w:t>Target Exchange Version:</w:t>
            </w:r>
          </w:p>
        </w:tc>
        <w:tc>
          <w:tcPr>
            <w:tcW w:w="3647" w:type="pct"/>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
              <w:gridCol w:w="900"/>
              <w:gridCol w:w="900"/>
              <w:gridCol w:w="900"/>
              <w:gridCol w:w="990"/>
              <w:gridCol w:w="900"/>
              <w:gridCol w:w="900"/>
              <w:gridCol w:w="1308"/>
            </w:tblGrid>
            <w:tr w:rsidR="001C0E43" w14:paraId="771CCEFC" w14:textId="77777777" w:rsidTr="005474A4">
              <w:tc>
                <w:tcPr>
                  <w:tcW w:w="855" w:type="dxa"/>
                  <w:noWrap/>
                </w:tcPr>
                <w:p w14:paraId="3530B2A2" w14:textId="77777777" w:rsidR="001C0E43" w:rsidRDefault="00E97EBD" w:rsidP="001C0E43">
                  <w:sdt>
                    <w:sdtPr>
                      <w:alias w:val="Same-Forest"/>
                      <w:tag w:val="Same-Forest"/>
                      <w:id w:val="1798798736"/>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2000</w:t>
                  </w:r>
                </w:p>
              </w:tc>
              <w:tc>
                <w:tcPr>
                  <w:tcW w:w="900" w:type="dxa"/>
                </w:tcPr>
                <w:p w14:paraId="2841C0BA" w14:textId="77777777" w:rsidR="001C0E43" w:rsidRDefault="00E97EBD" w:rsidP="001C0E43">
                  <w:sdt>
                    <w:sdtPr>
                      <w:alias w:val="Same-Forest"/>
                      <w:tag w:val="Same-Forest"/>
                      <w:id w:val="1727719733"/>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2003</w:t>
                  </w:r>
                </w:p>
              </w:tc>
              <w:tc>
                <w:tcPr>
                  <w:tcW w:w="900" w:type="dxa"/>
                </w:tcPr>
                <w:p w14:paraId="7D8B6B2B" w14:textId="77777777" w:rsidR="001C0E43" w:rsidRDefault="00E97EBD" w:rsidP="001C0E43">
                  <w:sdt>
                    <w:sdtPr>
                      <w:alias w:val="Same-Forest"/>
                      <w:tag w:val="Same-Forest"/>
                      <w:id w:val="263042980"/>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2007</w:t>
                  </w:r>
                </w:p>
              </w:tc>
              <w:tc>
                <w:tcPr>
                  <w:tcW w:w="900" w:type="dxa"/>
                </w:tcPr>
                <w:p w14:paraId="689B5B63" w14:textId="77777777" w:rsidR="001C0E43" w:rsidRDefault="00E97EBD" w:rsidP="001C0E43">
                  <w:sdt>
                    <w:sdtPr>
                      <w:alias w:val="Same-Forest"/>
                      <w:tag w:val="Same-Forest"/>
                      <w:id w:val="1897384275"/>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2010</w:t>
                  </w:r>
                </w:p>
              </w:tc>
              <w:tc>
                <w:tcPr>
                  <w:tcW w:w="990" w:type="dxa"/>
                </w:tcPr>
                <w:p w14:paraId="2B0DCE17" w14:textId="77777777" w:rsidR="001C0E43" w:rsidRDefault="00E97EBD" w:rsidP="001C0E43">
                  <w:sdt>
                    <w:sdtPr>
                      <w:alias w:val="Same-Forest"/>
                      <w:tag w:val="Same-Forest"/>
                      <w:id w:val="-301385836"/>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2013</w:t>
                  </w:r>
                </w:p>
              </w:tc>
              <w:tc>
                <w:tcPr>
                  <w:tcW w:w="900" w:type="dxa"/>
                </w:tcPr>
                <w:p w14:paraId="53E6F339" w14:textId="09C13279" w:rsidR="001C0E43" w:rsidRDefault="00E97EBD" w:rsidP="001C0E43">
                  <w:sdt>
                    <w:sdtPr>
                      <w:alias w:val="Same-Forest"/>
                      <w:tag w:val="Same-Forest"/>
                      <w:id w:val="-197624761"/>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2016</w:t>
                  </w:r>
                </w:p>
              </w:tc>
              <w:tc>
                <w:tcPr>
                  <w:tcW w:w="900" w:type="dxa"/>
                </w:tcPr>
                <w:p w14:paraId="4BA81C20" w14:textId="4C5D1771" w:rsidR="001C0E43" w:rsidRDefault="00E97EBD" w:rsidP="001C0E43">
                  <w:sdt>
                    <w:sdtPr>
                      <w:alias w:val="Same-Forest"/>
                      <w:tag w:val="Same-Forest"/>
                      <w:id w:val="-1994867112"/>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2019</w:t>
                  </w:r>
                </w:p>
              </w:tc>
              <w:tc>
                <w:tcPr>
                  <w:tcW w:w="1308" w:type="dxa"/>
                </w:tcPr>
                <w:p w14:paraId="0B4BD451" w14:textId="77777777" w:rsidR="001C0E43" w:rsidRDefault="00E97EBD" w:rsidP="001C0E43">
                  <w:sdt>
                    <w:sdtPr>
                      <w:alias w:val="Same-Forest"/>
                      <w:tag w:val="Same-Forest"/>
                      <w:id w:val="-1643193050"/>
                      <w14:checkbox>
                        <w14:checked w14:val="0"/>
                        <w14:checkedState w14:val="0052" w14:font="MS Shell Dlg 2"/>
                        <w14:uncheckedState w14:val="00A3" w14:font="MS Shell Dlg 2"/>
                      </w14:checkbox>
                    </w:sdtPr>
                    <w:sdtEndPr/>
                    <w:sdtContent>
                      <w:r w:rsidR="001C0E43">
                        <w:sym w:font="Wingdings 2" w:char="F0A3"/>
                      </w:r>
                    </w:sdtContent>
                  </w:sdt>
                  <w:r w:rsidR="001C0E43">
                    <w:t xml:space="preserve"> Office365</w:t>
                  </w:r>
                </w:p>
              </w:tc>
            </w:tr>
          </w:tbl>
          <w:p w14:paraId="273D9628" w14:textId="77777777" w:rsidR="00F3153F" w:rsidRDefault="00F3153F" w:rsidP="00F3153F"/>
        </w:tc>
      </w:tr>
    </w:tbl>
    <w:p w14:paraId="68C409BE" w14:textId="77777777" w:rsidR="0043454D" w:rsidRDefault="0043454D"/>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53"/>
        <w:gridCol w:w="2402"/>
        <w:gridCol w:w="7735"/>
      </w:tblGrid>
      <w:tr w:rsidR="007C42A8" w14:paraId="4F9F0E67" w14:textId="77777777" w:rsidTr="00D42B20">
        <w:tc>
          <w:tcPr>
            <w:tcW w:w="10790" w:type="dxa"/>
            <w:gridSpan w:val="3"/>
            <w:shd w:val="clear" w:color="auto" w:fill="DBE5F1" w:themeFill="accent1" w:themeFillTint="33"/>
            <w:tcMar>
              <w:top w:w="0" w:type="nil"/>
              <w:left w:w="0" w:type="nil"/>
              <w:bottom w:w="0" w:type="nil"/>
              <w:right w:w="0" w:type="nil"/>
            </w:tcMar>
          </w:tcPr>
          <w:p w14:paraId="43B69C82" w14:textId="77777777" w:rsidR="007C42A8" w:rsidRDefault="00A974CD" w:rsidP="004E60AE">
            <w:pPr>
              <w:pStyle w:val="Heading2"/>
              <w:tabs>
                <w:tab w:val="left" w:pos="3457"/>
              </w:tabs>
            </w:pPr>
            <w:r>
              <w:t xml:space="preserve">PRE-REQUISITES CHECKLIST </w:t>
            </w:r>
            <w:r w:rsidRPr="00A974CD">
              <w:rPr>
                <w:sz w:val="24"/>
              </w:rPr>
              <w:tab/>
            </w:r>
            <w:r w:rsidRPr="00A974CD">
              <w:rPr>
                <w:sz w:val="24"/>
              </w:rPr>
              <w:br/>
            </w:r>
            <w:r w:rsidR="004E60AE">
              <w:rPr>
                <w:b w:val="0"/>
                <w:sz w:val="16"/>
              </w:rPr>
              <w:t>Elements below are presented in the recommended order of operation.</w:t>
            </w:r>
            <w:r w:rsidR="004E60AE">
              <w:rPr>
                <w:b w:val="0"/>
                <w:sz w:val="16"/>
              </w:rPr>
              <w:br/>
            </w:r>
            <w:r w:rsidRPr="004E60AE">
              <w:rPr>
                <w:rFonts w:ascii="Calibri" w:hAnsi="Calibri" w:cs="Calibri"/>
                <w:b w:val="0"/>
                <w:i/>
                <w:caps w:val="0"/>
                <w:color w:val="C00000"/>
                <w:sz w:val="16"/>
              </w:rPr>
              <w:t>(</w:t>
            </w:r>
            <w:r w:rsidR="004E60AE" w:rsidRPr="004E60AE">
              <w:rPr>
                <w:rFonts w:ascii="Calibri" w:hAnsi="Calibri" w:cs="Calibri"/>
                <w:b w:val="0"/>
                <w:i/>
                <w:caps w:val="0"/>
                <w:color w:val="C00000"/>
                <w:sz w:val="16"/>
              </w:rPr>
              <w:t>The</w:t>
            </w:r>
            <w:r w:rsidRPr="004E60AE">
              <w:rPr>
                <w:rFonts w:ascii="Calibri" w:hAnsi="Calibri" w:cs="Calibri"/>
                <w:b w:val="0"/>
                <w:i/>
                <w:caps w:val="0"/>
                <w:color w:val="C00000"/>
                <w:sz w:val="16"/>
              </w:rPr>
              <w:t xml:space="preserve"> following is to be completed before scheduling the first remote training session)</w:t>
            </w:r>
          </w:p>
        </w:tc>
      </w:tr>
      <w:tr w:rsidR="00FC127B" w14:paraId="7907C441" w14:textId="77777777" w:rsidTr="00D42B20">
        <w:tc>
          <w:tcPr>
            <w:tcW w:w="653" w:type="dxa"/>
            <w:tcMar>
              <w:top w:w="0" w:type="nil"/>
              <w:left w:w="0" w:type="nil"/>
              <w:bottom w:w="0" w:type="nil"/>
              <w:right w:w="0" w:type="nil"/>
            </w:tcMar>
          </w:tcPr>
          <w:p w14:paraId="23F863D4" w14:textId="77777777" w:rsidR="00FC127B" w:rsidRDefault="00FC127B"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0B1A90C3" w14:textId="77777777" w:rsidR="00FC127B" w:rsidRDefault="00FC127B" w:rsidP="00FC127B">
            <w:r>
              <w:t>Source Environment Readiness</w:t>
            </w:r>
          </w:p>
        </w:tc>
        <w:tc>
          <w:tcPr>
            <w:tcW w:w="7735" w:type="dxa"/>
            <w:tcMar>
              <w:top w:w="0" w:type="nil"/>
              <w:left w:w="0" w:type="nil"/>
              <w:bottom w:w="0" w:type="nil"/>
              <w:right w:w="0" w:type="nil"/>
            </w:tcMar>
          </w:tcPr>
          <w:p w14:paraId="15304D07" w14:textId="77777777" w:rsidR="00FC127B" w:rsidRDefault="00FC127B" w:rsidP="00FC127B">
            <w:r>
              <w:t xml:space="preserve">Source environment must be accessible and ready for migration activities.  The migration readiness certification process will be used to perform tests from this environment. </w:t>
            </w:r>
          </w:p>
        </w:tc>
      </w:tr>
      <w:tr w:rsidR="00FC127B" w14:paraId="745A3847" w14:textId="77777777" w:rsidTr="00D42B20">
        <w:tc>
          <w:tcPr>
            <w:tcW w:w="653" w:type="dxa"/>
            <w:tcMar>
              <w:top w:w="0" w:type="nil"/>
              <w:left w:w="0" w:type="nil"/>
              <w:bottom w:w="0" w:type="nil"/>
              <w:right w:w="0" w:type="nil"/>
            </w:tcMar>
          </w:tcPr>
          <w:p w14:paraId="3A00F317" w14:textId="77777777" w:rsidR="00FC127B" w:rsidRDefault="00FC127B"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517A8E66" w14:textId="77777777" w:rsidR="00FC127B" w:rsidRDefault="00FC127B" w:rsidP="00FC127B">
            <w:r>
              <w:t>Target Environment Readiness</w:t>
            </w:r>
          </w:p>
        </w:tc>
        <w:tc>
          <w:tcPr>
            <w:tcW w:w="7735" w:type="dxa"/>
            <w:tcMar>
              <w:top w:w="0" w:type="nil"/>
              <w:left w:w="0" w:type="nil"/>
              <w:bottom w:w="0" w:type="nil"/>
              <w:right w:w="0" w:type="nil"/>
            </w:tcMar>
          </w:tcPr>
          <w:p w14:paraId="65B5BF1C" w14:textId="77777777" w:rsidR="00FC127B" w:rsidRDefault="00FC127B" w:rsidP="00FC127B">
            <w:r>
              <w:t xml:space="preserve">Target environment must be accessible and ready for migration activities.  </w:t>
            </w:r>
          </w:p>
          <w:p w14:paraId="08719022" w14:textId="77777777" w:rsidR="00FC127B" w:rsidRDefault="00FC127B" w:rsidP="00FC127B">
            <w:r>
              <w:t>If the target environment is new, it should be in a working state with regards to databases and connectivity.  Priasoft does not provide Exchange or Office 365 architecture services.</w:t>
            </w:r>
          </w:p>
          <w:p w14:paraId="07B31E9A" w14:textId="77777777" w:rsidR="00FC127B" w:rsidRDefault="00FC127B" w:rsidP="00FC127B">
            <w:r>
              <w:t>The migration readiness certification process will be used to perform tests to this environment.</w:t>
            </w:r>
          </w:p>
          <w:p w14:paraId="7DA9C0E6" w14:textId="77777777" w:rsidR="00FC127B" w:rsidRDefault="00FC127B" w:rsidP="00FC127B">
            <w:r>
              <w:t>Office 365 targets should have available licenses and should have at least one verified domain.</w:t>
            </w:r>
          </w:p>
        </w:tc>
      </w:tr>
      <w:tr w:rsidR="000A3698" w14:paraId="0909DEE5" w14:textId="77777777" w:rsidTr="00D42B20">
        <w:tc>
          <w:tcPr>
            <w:tcW w:w="653" w:type="dxa"/>
            <w:tcMar>
              <w:top w:w="0" w:type="nil"/>
              <w:left w:w="0" w:type="nil"/>
              <w:bottom w:w="0" w:type="nil"/>
              <w:right w:w="0" w:type="nil"/>
            </w:tcMar>
          </w:tcPr>
          <w:p w14:paraId="442DFE65" w14:textId="77777777" w:rsidR="000A3698" w:rsidRDefault="000A3698"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3385333F" w14:textId="77777777" w:rsidR="000A3698" w:rsidRDefault="000A3698" w:rsidP="004E67DC">
            <w:r>
              <w:t>Priasoft Setup Guide v2</w:t>
            </w:r>
          </w:p>
        </w:tc>
        <w:tc>
          <w:tcPr>
            <w:tcW w:w="7735" w:type="dxa"/>
            <w:tcMar>
              <w:top w:w="0" w:type="nil"/>
              <w:left w:w="0" w:type="nil"/>
              <w:bottom w:w="0" w:type="nil"/>
              <w:right w:w="0" w:type="nil"/>
            </w:tcMar>
          </w:tcPr>
          <w:p w14:paraId="180BC777" w14:textId="77777777" w:rsidR="000A3698" w:rsidRDefault="000A3698" w:rsidP="004E67DC">
            <w:r>
              <w:t>The setup guide should be read prior to the first remote support session and prior to any of the following checklist items.</w:t>
            </w:r>
          </w:p>
          <w:p w14:paraId="16EFCFF6" w14:textId="210F4137" w:rsidR="000A3698" w:rsidRDefault="000A3698" w:rsidP="004E67DC">
            <w:r>
              <w:t xml:space="preserve">Document link: </w:t>
            </w:r>
            <w:hyperlink r:id="rId9" w:history="1">
              <w:r w:rsidRPr="00300366">
                <w:rPr>
                  <w:rStyle w:val="Hyperlink"/>
                </w:rPr>
                <w:t>SetupGuideV2</w:t>
              </w:r>
            </w:hyperlink>
          </w:p>
        </w:tc>
      </w:tr>
      <w:tr w:rsidR="007C42A8" w14:paraId="27F42472" w14:textId="77777777" w:rsidTr="00D42B20">
        <w:tc>
          <w:tcPr>
            <w:tcW w:w="653" w:type="dxa"/>
            <w:tcMar>
              <w:top w:w="0" w:type="nil"/>
              <w:left w:w="0" w:type="nil"/>
              <w:bottom w:w="0" w:type="nil"/>
              <w:right w:w="0" w:type="nil"/>
            </w:tcMar>
          </w:tcPr>
          <w:p w14:paraId="5AB8B874" w14:textId="77777777" w:rsidR="007C42A8" w:rsidRDefault="00F3153F">
            <w:r>
              <w:fldChar w:fldCharType="begin">
                <w:ffData>
                  <w:name w:val="Check1"/>
                  <w:enabled/>
                  <w:calcOnExit w:val="0"/>
                  <w:checkBox>
                    <w:sizeAuto/>
                    <w:default w:val="0"/>
                  </w:checkBox>
                </w:ffData>
              </w:fldChar>
            </w:r>
            <w:bookmarkStart w:id="0" w:name="Check1"/>
            <w:r>
              <w:instrText xml:space="preserve"> FORMCHECKBOX </w:instrText>
            </w:r>
            <w:r w:rsidR="00E97EBD">
              <w:fldChar w:fldCharType="separate"/>
            </w:r>
            <w:r>
              <w:fldChar w:fldCharType="end"/>
            </w:r>
            <w:bookmarkEnd w:id="0"/>
          </w:p>
        </w:tc>
        <w:tc>
          <w:tcPr>
            <w:tcW w:w="2402" w:type="dxa"/>
            <w:tcMar>
              <w:top w:w="0" w:type="nil"/>
              <w:left w:w="0" w:type="nil"/>
              <w:bottom w:w="0" w:type="nil"/>
              <w:right w:w="0" w:type="nil"/>
            </w:tcMar>
          </w:tcPr>
          <w:p w14:paraId="17BAE552" w14:textId="77777777" w:rsidR="007C42A8" w:rsidRDefault="00A974CD" w:rsidP="00157CA0">
            <w:r>
              <w:t>Migration Host Selection</w:t>
            </w:r>
          </w:p>
          <w:p w14:paraId="77FC29EA" w14:textId="77777777" w:rsidR="001D7C6F" w:rsidRDefault="001D7C6F" w:rsidP="00157CA0"/>
          <w:p w14:paraId="0B6B443D" w14:textId="77777777" w:rsidR="00A54D2E" w:rsidRDefault="00A54D2E" w:rsidP="00A54D2E">
            <w:pPr>
              <w:ind w:left="393"/>
              <w:rPr>
                <w:color w:val="FF0000"/>
              </w:rPr>
            </w:pPr>
            <w:r>
              <w:rPr>
                <w:color w:val="FF0000"/>
              </w:rPr>
              <w:t>Windows 8.1</w:t>
            </w:r>
          </w:p>
          <w:p w14:paraId="16E57868" w14:textId="77777777" w:rsidR="00A54D2E" w:rsidRDefault="00A54D2E" w:rsidP="00A54D2E">
            <w:pPr>
              <w:ind w:left="393"/>
              <w:rPr>
                <w:color w:val="FF0000"/>
              </w:rPr>
            </w:pPr>
            <w:r>
              <w:rPr>
                <w:color w:val="FF0000"/>
              </w:rPr>
              <w:t>Windows 10</w:t>
            </w:r>
          </w:p>
          <w:p w14:paraId="3E45C9D6" w14:textId="77777777" w:rsidR="00A54D2E" w:rsidRDefault="00A54D2E" w:rsidP="00A54D2E">
            <w:pPr>
              <w:ind w:left="393"/>
              <w:rPr>
                <w:color w:val="FF0000"/>
              </w:rPr>
            </w:pPr>
            <w:r>
              <w:rPr>
                <w:color w:val="FF0000"/>
              </w:rPr>
              <w:t>Windows 11</w:t>
            </w:r>
          </w:p>
          <w:p w14:paraId="072C2150" w14:textId="77777777" w:rsidR="00A54D2E" w:rsidRDefault="00A54D2E" w:rsidP="00A54D2E">
            <w:pPr>
              <w:ind w:left="393"/>
              <w:rPr>
                <w:color w:val="FF0000"/>
              </w:rPr>
            </w:pPr>
            <w:r>
              <w:rPr>
                <w:color w:val="FF0000"/>
              </w:rPr>
              <w:t>Server 2012 R2</w:t>
            </w:r>
          </w:p>
          <w:p w14:paraId="61E80464" w14:textId="77777777" w:rsidR="00A54D2E" w:rsidRDefault="00A54D2E" w:rsidP="00A54D2E">
            <w:pPr>
              <w:ind w:left="393"/>
              <w:rPr>
                <w:color w:val="FF0000"/>
              </w:rPr>
            </w:pPr>
            <w:r>
              <w:rPr>
                <w:color w:val="FF0000"/>
              </w:rPr>
              <w:t>Server 2016</w:t>
            </w:r>
          </w:p>
          <w:p w14:paraId="7B891BFE" w14:textId="33202850" w:rsidR="00A54D2E" w:rsidRPr="00A54D2E" w:rsidRDefault="00A54D2E" w:rsidP="00A54D2E">
            <w:pPr>
              <w:ind w:left="393"/>
              <w:rPr>
                <w:color w:val="FF0000"/>
              </w:rPr>
            </w:pPr>
            <w:r>
              <w:rPr>
                <w:color w:val="FF0000"/>
              </w:rPr>
              <w:t>Server 2019</w:t>
            </w:r>
          </w:p>
        </w:tc>
        <w:tc>
          <w:tcPr>
            <w:tcW w:w="7735" w:type="dxa"/>
            <w:tcMar>
              <w:top w:w="0" w:type="nil"/>
              <w:left w:w="0" w:type="nil"/>
              <w:bottom w:w="0" w:type="nil"/>
              <w:right w:w="0" w:type="nil"/>
            </w:tcMar>
          </w:tcPr>
          <w:p w14:paraId="5603E804" w14:textId="77777777" w:rsidR="007C42A8" w:rsidRDefault="00A974CD">
            <w:r>
              <w:t>This should be a physical or virtual machine onto which the Priasoft solution will be installed.</w:t>
            </w:r>
          </w:p>
          <w:p w14:paraId="6EE8CE52" w14:textId="45009008" w:rsidR="00A974CD" w:rsidRDefault="00A974CD">
            <w:r>
              <w:t xml:space="preserve">Supported OS: </w:t>
            </w:r>
            <w:r w:rsidR="00A54D2E">
              <w:t>Win8.1, Win10, Win11, Server 2012, 2016, 2019</w:t>
            </w:r>
          </w:p>
          <w:p w14:paraId="74401D11" w14:textId="77777777" w:rsidR="00A974CD" w:rsidRDefault="00A974CD">
            <w:r>
              <w:t>Bitness: 64bit (recommended) or 32bit</w:t>
            </w:r>
          </w:p>
          <w:p w14:paraId="5AA809FD" w14:textId="14000986" w:rsidR="00B0145D" w:rsidRPr="00B0145D" w:rsidRDefault="00B0145D" w:rsidP="00B0145D">
            <w:pPr>
              <w:ind w:left="720"/>
              <w:rPr>
                <w:color w:val="FF0000"/>
              </w:rPr>
            </w:pPr>
            <w:r w:rsidRPr="00B0145D">
              <w:rPr>
                <w:color w:val="FF0000"/>
              </w:rPr>
              <w:t xml:space="preserve">Note:  Migrations with an Exchange 2007 </w:t>
            </w:r>
            <w:r w:rsidRPr="00B0145D">
              <w:rPr>
                <w:b/>
                <w:color w:val="FF0000"/>
              </w:rPr>
              <w:t>TARGET</w:t>
            </w:r>
            <w:r w:rsidRPr="00B0145D">
              <w:rPr>
                <w:color w:val="FF0000"/>
              </w:rPr>
              <w:t xml:space="preserve"> must be a 32bit host!</w:t>
            </w:r>
            <w:r w:rsidR="000677A9">
              <w:rPr>
                <w:color w:val="FF0000"/>
              </w:rPr>
              <w:t xml:space="preserve">  Migrations </w:t>
            </w:r>
            <w:r w:rsidR="000677A9">
              <w:rPr>
                <w:i/>
                <w:color w:val="FF0000"/>
              </w:rPr>
              <w:t xml:space="preserve">from </w:t>
            </w:r>
            <w:r w:rsidR="000677A9">
              <w:rPr>
                <w:color w:val="FF0000"/>
              </w:rPr>
              <w:t>Exchange 2007 to Office365 may also require a 32bit host.</w:t>
            </w:r>
          </w:p>
          <w:p w14:paraId="7B940FA4" w14:textId="77777777" w:rsidR="00B0145D" w:rsidRPr="00B0145D" w:rsidRDefault="00B0145D" w:rsidP="00B0145D">
            <w:pPr>
              <w:ind w:left="720"/>
              <w:rPr>
                <w:color w:val="FF0000"/>
              </w:rPr>
            </w:pPr>
          </w:p>
          <w:p w14:paraId="7A28F385" w14:textId="77777777" w:rsidR="00CC063A" w:rsidRDefault="00CC063A">
            <w:r>
              <w:t xml:space="preserve">Windows Update:  </w:t>
            </w:r>
            <w:r w:rsidR="00B0145D" w:rsidRPr="00B0145D">
              <w:rPr>
                <w:b/>
                <w:i/>
              </w:rPr>
              <w:t>ALL</w:t>
            </w:r>
            <w:r>
              <w:t xml:space="preserve"> updates applied and then automatic updates disabled.</w:t>
            </w:r>
            <w:r w:rsidR="00B0145D">
              <w:t xml:space="preserve">  Recent support cases have shown issues with MAPI when updates are not applied.</w:t>
            </w:r>
          </w:p>
          <w:p w14:paraId="101339B8" w14:textId="77777777" w:rsidR="00B0145D" w:rsidRDefault="00B0145D"/>
          <w:p w14:paraId="4C99F9D2" w14:textId="77777777" w:rsidR="000A3698" w:rsidRDefault="00CC063A" w:rsidP="000A3698">
            <w:r>
              <w:t>Logon Account:  Member of local Administrators Group</w:t>
            </w:r>
          </w:p>
          <w:p w14:paraId="4A11CD0C" w14:textId="77777777" w:rsidR="000A3698" w:rsidRPr="000A3698" w:rsidRDefault="000A3698" w:rsidP="000A3698">
            <w:pPr>
              <w:rPr>
                <w:i/>
              </w:rPr>
            </w:pPr>
            <w:r w:rsidRPr="000A3698">
              <w:rPr>
                <w:i/>
                <w:color w:val="C00000"/>
              </w:rPr>
              <w:t>Note that installations on pre-existing hosts that have other software installed can create issues or conflicts with migrations.  It is recommended that this host be newly built for the purpose of migrations.  Refer to the setup guide [above] for more detail.</w:t>
            </w:r>
          </w:p>
        </w:tc>
      </w:tr>
      <w:tr w:rsidR="007C42A8" w14:paraId="4160C235" w14:textId="77777777" w:rsidTr="00D42B20">
        <w:tc>
          <w:tcPr>
            <w:tcW w:w="653" w:type="dxa"/>
            <w:tcMar>
              <w:top w:w="0" w:type="nil"/>
              <w:left w:w="0" w:type="nil"/>
              <w:bottom w:w="0" w:type="nil"/>
              <w:right w:w="0" w:type="nil"/>
            </w:tcMar>
          </w:tcPr>
          <w:p w14:paraId="5C26F025" w14:textId="4D2BCE71" w:rsidR="007C42A8" w:rsidRDefault="00F3153F">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5CD7A743" w14:textId="77777777" w:rsidR="007C42A8" w:rsidRDefault="00A974CD" w:rsidP="00157CA0">
            <w:r>
              <w:t>Migration Host Domain Membership</w:t>
            </w:r>
          </w:p>
        </w:tc>
        <w:tc>
          <w:tcPr>
            <w:tcW w:w="7735" w:type="dxa"/>
            <w:tcMar>
              <w:top w:w="0" w:type="nil"/>
              <w:left w:w="0" w:type="nil"/>
              <w:bottom w:w="0" w:type="nil"/>
              <w:right w:w="0" w:type="nil"/>
            </w:tcMar>
          </w:tcPr>
          <w:p w14:paraId="58389DCA" w14:textId="77777777" w:rsidR="007C42A8" w:rsidRDefault="00A974CD" w:rsidP="00A974CD">
            <w:r w:rsidRPr="00CC063A">
              <w:rPr>
                <w:b/>
              </w:rPr>
              <w:t>Same-Forest Migrations</w:t>
            </w:r>
            <w:r>
              <w:t>:  Host is a member of the same domain as the Exchange server(s).</w:t>
            </w:r>
          </w:p>
          <w:p w14:paraId="0F0A302B" w14:textId="77777777" w:rsidR="00A974CD" w:rsidRDefault="00A974CD" w:rsidP="00A974CD">
            <w:r w:rsidRPr="00CC063A">
              <w:rPr>
                <w:b/>
              </w:rPr>
              <w:t>Cross-Forest Migrations</w:t>
            </w:r>
            <w:r>
              <w:t>:  Host is a member of the same domain as the target Exchange server(s):</w:t>
            </w:r>
          </w:p>
          <w:p w14:paraId="14E696AC" w14:textId="77777777" w:rsidR="00A974CD" w:rsidRDefault="00A974CD" w:rsidP="00A974CD">
            <w:r w:rsidRPr="00CC063A">
              <w:rPr>
                <w:b/>
              </w:rPr>
              <w:t>Office 365 Migrations</w:t>
            </w:r>
            <w:r>
              <w:t>:  Host is a member of the same domain as the on-premises Exchange server(s).</w:t>
            </w:r>
          </w:p>
          <w:p w14:paraId="6D2F0F09" w14:textId="77777777" w:rsidR="00CC063A" w:rsidRDefault="00CC063A" w:rsidP="00CC063A">
            <w:pPr>
              <w:autoSpaceDE w:val="0"/>
              <w:autoSpaceDN w:val="0"/>
              <w:adjustRightInd w:val="0"/>
              <w:spacing w:before="0" w:after="0"/>
            </w:pPr>
            <w:r w:rsidRPr="00CC063A">
              <w:rPr>
                <w:b/>
              </w:rPr>
              <w:t>Office 365</w:t>
            </w:r>
            <w:r w:rsidRPr="00CC063A">
              <w:rPr>
                <w:rFonts w:ascii="Wingdings" w:hAnsi="Wingdings" w:cs="Wingdings"/>
                <w:b/>
                <w:sz w:val="16"/>
                <w:szCs w:val="26"/>
              </w:rPr>
              <w:t></w:t>
            </w:r>
            <w:r w:rsidRPr="00CC063A">
              <w:rPr>
                <w:b/>
              </w:rPr>
              <w:t>Office 365 Migrations</w:t>
            </w:r>
            <w:r>
              <w:t>:  Domain membership not required</w:t>
            </w:r>
          </w:p>
        </w:tc>
      </w:tr>
      <w:tr w:rsidR="007C42A8" w14:paraId="10C54B57" w14:textId="77777777" w:rsidTr="00D42B20">
        <w:tc>
          <w:tcPr>
            <w:tcW w:w="653" w:type="dxa"/>
            <w:tcMar>
              <w:top w:w="0" w:type="nil"/>
              <w:left w:w="0" w:type="nil"/>
              <w:bottom w:w="0" w:type="nil"/>
              <w:right w:w="0" w:type="nil"/>
            </w:tcMar>
          </w:tcPr>
          <w:p w14:paraId="3807417F" w14:textId="77777777" w:rsidR="007C42A8" w:rsidRDefault="00F3153F">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0968819A" w14:textId="77777777" w:rsidR="007C42A8" w:rsidRDefault="00CC063A" w:rsidP="007C42A8">
            <w:r>
              <w:t>Migration Host Placement</w:t>
            </w:r>
          </w:p>
        </w:tc>
        <w:tc>
          <w:tcPr>
            <w:tcW w:w="7735" w:type="dxa"/>
            <w:tcMar>
              <w:top w:w="0" w:type="nil"/>
              <w:left w:w="0" w:type="nil"/>
              <w:bottom w:w="0" w:type="nil"/>
              <w:right w:w="0" w:type="nil"/>
            </w:tcMar>
          </w:tcPr>
          <w:p w14:paraId="0940A9F8" w14:textId="77777777" w:rsidR="00FA7A52" w:rsidRDefault="00CC063A" w:rsidP="00157CA0">
            <w:r>
              <w:t>When possible, migration host should be physically near source Exchange server(s).  Domain membership follows rules above.</w:t>
            </w:r>
          </w:p>
        </w:tc>
      </w:tr>
      <w:tr w:rsidR="007C42A8" w14:paraId="01F093D0" w14:textId="77777777" w:rsidTr="00D42B20">
        <w:tc>
          <w:tcPr>
            <w:tcW w:w="653" w:type="dxa"/>
            <w:tcMar>
              <w:top w:w="0" w:type="nil"/>
              <w:left w:w="0" w:type="nil"/>
              <w:bottom w:w="0" w:type="nil"/>
              <w:right w:w="0" w:type="nil"/>
            </w:tcMar>
          </w:tcPr>
          <w:p w14:paraId="7BE7FD94" w14:textId="77777777" w:rsidR="007C42A8" w:rsidRDefault="00F3153F">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0DF800B8" w14:textId="77777777" w:rsidR="007C42A8" w:rsidRDefault="00CC063A">
            <w:r>
              <w:t>Name Resolution</w:t>
            </w:r>
          </w:p>
        </w:tc>
        <w:tc>
          <w:tcPr>
            <w:tcW w:w="7735" w:type="dxa"/>
            <w:tcMar>
              <w:top w:w="0" w:type="nil"/>
              <w:left w:w="0" w:type="nil"/>
              <w:bottom w:w="0" w:type="nil"/>
              <w:right w:w="0" w:type="nil"/>
            </w:tcMar>
          </w:tcPr>
          <w:p w14:paraId="7E404052" w14:textId="77777777" w:rsidR="007C42A8" w:rsidRDefault="00CC063A" w:rsidP="00CC063A">
            <w:r>
              <w:t>Migration Host must be able to resolve names, both NetBIOS and DNS, of the source and target Exchange server(s) and Domain Contoller(s).</w:t>
            </w:r>
          </w:p>
        </w:tc>
      </w:tr>
      <w:tr w:rsidR="007C42A8" w14:paraId="614343F4" w14:textId="77777777" w:rsidTr="00D42B20">
        <w:tc>
          <w:tcPr>
            <w:tcW w:w="653" w:type="dxa"/>
            <w:tcMar>
              <w:top w:w="0" w:type="nil"/>
              <w:left w:w="0" w:type="nil"/>
              <w:bottom w:w="0" w:type="nil"/>
              <w:right w:w="0" w:type="nil"/>
            </w:tcMar>
          </w:tcPr>
          <w:p w14:paraId="05633628" w14:textId="77777777" w:rsidR="007C42A8" w:rsidRDefault="00F3153F">
            <w:r>
              <w:lastRenderedPageBreak/>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5B45462B" w14:textId="77777777" w:rsidR="007C42A8" w:rsidRDefault="00CC063A" w:rsidP="00CC063A">
            <w:pPr>
              <w:rPr>
                <w:color w:val="FF0000"/>
              </w:rPr>
            </w:pPr>
            <w:r>
              <w:t>Outlook</w:t>
            </w:r>
            <w:r w:rsidR="009B7CF2">
              <w:t xml:space="preserve"> </w:t>
            </w:r>
            <w:r w:rsidR="009B7CF2" w:rsidRPr="009B7CF2">
              <w:rPr>
                <w:color w:val="FF0000"/>
              </w:rPr>
              <w:t>32bit</w:t>
            </w:r>
          </w:p>
          <w:p w14:paraId="0BE89864" w14:textId="77777777" w:rsidR="007137A7" w:rsidRDefault="007137A7" w:rsidP="00CC063A">
            <w:r>
              <w:t xml:space="preserve">    Outlook 2013</w:t>
            </w:r>
          </w:p>
          <w:p w14:paraId="43287FE5" w14:textId="77777777" w:rsidR="007137A7" w:rsidRDefault="007137A7" w:rsidP="00CC063A">
            <w:r>
              <w:t xml:space="preserve">    Outlook 2016</w:t>
            </w:r>
          </w:p>
          <w:p w14:paraId="22AFE794" w14:textId="77777777" w:rsidR="007137A7" w:rsidRDefault="007137A7" w:rsidP="00CC063A">
            <w:r>
              <w:t xml:space="preserve">    Outlook 2019</w:t>
            </w:r>
          </w:p>
          <w:p w14:paraId="4A215AB9" w14:textId="5B56D22D" w:rsidR="007137A7" w:rsidRDefault="007137A7" w:rsidP="00CC063A">
            <w:r>
              <w:t xml:space="preserve">    Outlook365</w:t>
            </w:r>
          </w:p>
        </w:tc>
        <w:tc>
          <w:tcPr>
            <w:tcW w:w="7735" w:type="dxa"/>
            <w:tcMar>
              <w:top w:w="0" w:type="nil"/>
              <w:left w:w="0" w:type="nil"/>
              <w:bottom w:w="0" w:type="nil"/>
              <w:right w:w="0" w:type="nil"/>
            </w:tcMar>
          </w:tcPr>
          <w:p w14:paraId="7CA252E5" w14:textId="1405EB2E" w:rsidR="007C42A8" w:rsidRDefault="00CC063A" w:rsidP="009B7CF2">
            <w:r>
              <w:t>Install all latest service packs, hotfixes, and updates.</w:t>
            </w:r>
          </w:p>
          <w:p w14:paraId="44A5BA5A" w14:textId="77777777" w:rsidR="009B7CF2" w:rsidRDefault="009B7CF2" w:rsidP="009B7CF2">
            <w:pPr>
              <w:rPr>
                <w:b/>
                <w:i/>
                <w:color w:val="FF0000"/>
              </w:rPr>
            </w:pPr>
            <w:r>
              <w:t xml:space="preserve">Outlook/Office </w:t>
            </w:r>
            <w:r w:rsidRPr="009B7CF2">
              <w:rPr>
                <w:b/>
                <w:i/>
                <w:color w:val="FF0000"/>
              </w:rPr>
              <w:t xml:space="preserve">must be </w:t>
            </w:r>
            <w:r>
              <w:rPr>
                <w:b/>
                <w:i/>
                <w:color w:val="FF0000"/>
              </w:rPr>
              <w:t xml:space="preserve">the </w:t>
            </w:r>
            <w:r w:rsidRPr="009B7CF2">
              <w:rPr>
                <w:b/>
                <w:i/>
                <w:color w:val="FF0000"/>
              </w:rPr>
              <w:t>32bit</w:t>
            </w:r>
            <w:r>
              <w:rPr>
                <w:b/>
                <w:i/>
                <w:color w:val="FF0000"/>
              </w:rPr>
              <w:t xml:space="preserve"> version</w:t>
            </w:r>
          </w:p>
          <w:p w14:paraId="185E6922" w14:textId="76CCDD46" w:rsidR="0012571E" w:rsidRDefault="00686AF1" w:rsidP="0012571E">
            <w:r>
              <w:t>While these are the minimum</w:t>
            </w:r>
            <w:r w:rsidR="001A7990">
              <w:t xml:space="preserve"> requirements</w:t>
            </w:r>
            <w:r>
              <w:t xml:space="preserve">, it is HIGHLY recommended to let Office be fully updated thru Windows Update. </w:t>
            </w:r>
          </w:p>
          <w:p w14:paraId="2C51B241" w14:textId="553029C6" w:rsidR="002D08E7" w:rsidRDefault="002D08E7" w:rsidP="0012571E"/>
          <w:p w14:paraId="33BF79AE" w14:textId="4CFF7BD7" w:rsidR="002D08E7" w:rsidRDefault="002D08E7" w:rsidP="0012571E">
            <w:r>
              <w:t xml:space="preserve">Outlook 2013:  Can be used for any version of Exchange or Office365.  </w:t>
            </w:r>
          </w:p>
          <w:p w14:paraId="003EC9B7" w14:textId="0C63041A" w:rsidR="00483015" w:rsidRDefault="00483015" w:rsidP="0012571E">
            <w:r>
              <w:t>Outlook 2016:  Can only be used for Exchange 2010 and later and Office 365.</w:t>
            </w:r>
          </w:p>
          <w:p w14:paraId="4DA1061A" w14:textId="150E5C1E" w:rsidR="00483015" w:rsidRDefault="00483015" w:rsidP="0012571E">
            <w:r>
              <w:t>Outlook 2019:  Can only be used for Exchange 2013 and later and Office 365.</w:t>
            </w:r>
          </w:p>
          <w:p w14:paraId="62F0A1BF" w14:textId="20CCCFF4" w:rsidR="005769A8" w:rsidRPr="009360E8" w:rsidRDefault="005769A8" w:rsidP="0012571E">
            <w:r>
              <w:t>Outlook365:  Can only be used for Exchange 2016 and later and Office 365.</w:t>
            </w:r>
          </w:p>
          <w:p w14:paraId="7A531B17" w14:textId="777F129C" w:rsidR="00686AF1" w:rsidRPr="009360E8" w:rsidRDefault="00686AF1" w:rsidP="00686AF1"/>
        </w:tc>
      </w:tr>
      <w:tr w:rsidR="007C42A8" w14:paraId="1AECB28D" w14:textId="77777777" w:rsidTr="00D42B20">
        <w:tc>
          <w:tcPr>
            <w:tcW w:w="653" w:type="dxa"/>
            <w:tcMar>
              <w:top w:w="0" w:type="nil"/>
              <w:left w:w="0" w:type="nil"/>
              <w:bottom w:w="0" w:type="nil"/>
              <w:right w:w="0" w:type="nil"/>
            </w:tcMar>
          </w:tcPr>
          <w:p w14:paraId="6C92D88E" w14:textId="63B3B842" w:rsidR="007C42A8" w:rsidRDefault="00F3153F">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588AB586" w14:textId="77777777" w:rsidR="007C42A8" w:rsidRDefault="00E911CF" w:rsidP="00E911CF">
            <w:r>
              <w:t>Microsoft .NET 3.5</w:t>
            </w:r>
          </w:p>
        </w:tc>
        <w:tc>
          <w:tcPr>
            <w:tcW w:w="7735" w:type="dxa"/>
            <w:tcMar>
              <w:top w:w="0" w:type="nil"/>
              <w:left w:w="0" w:type="nil"/>
              <w:bottom w:w="0" w:type="nil"/>
              <w:right w:w="0" w:type="nil"/>
            </w:tcMar>
          </w:tcPr>
          <w:p w14:paraId="5C62ABEC" w14:textId="77777777" w:rsidR="00E911CF" w:rsidRDefault="00E911CF" w:rsidP="009B7CF2">
            <w:r>
              <w:t>All current patches and updates should be applied.</w:t>
            </w:r>
          </w:p>
          <w:p w14:paraId="506A5932" w14:textId="77777777" w:rsidR="00E911CF" w:rsidRDefault="00E911CF" w:rsidP="009B7CF2">
            <w:r>
              <w:t>This version is required for the mailbox and public folder tools.</w:t>
            </w:r>
          </w:p>
        </w:tc>
      </w:tr>
      <w:tr w:rsidR="00E911CF" w14:paraId="5EC23201" w14:textId="77777777" w:rsidTr="00D42B20">
        <w:tc>
          <w:tcPr>
            <w:tcW w:w="653" w:type="dxa"/>
            <w:tcMar>
              <w:top w:w="0" w:type="nil"/>
              <w:left w:w="0" w:type="nil"/>
              <w:bottom w:w="0" w:type="nil"/>
              <w:right w:w="0" w:type="nil"/>
            </w:tcMar>
          </w:tcPr>
          <w:p w14:paraId="058A8778" w14:textId="77777777" w:rsidR="00E911CF" w:rsidRDefault="00E911CF" w:rsidP="00E911CF">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2E7BBB92" w14:textId="37B8713E" w:rsidR="00E911CF" w:rsidRDefault="00E911CF" w:rsidP="00E911CF">
            <w:r>
              <w:t>Microsoft .NET 4.</w:t>
            </w:r>
            <w:r w:rsidR="005769A8">
              <w:t>7.2 or later</w:t>
            </w:r>
          </w:p>
        </w:tc>
        <w:tc>
          <w:tcPr>
            <w:tcW w:w="7735" w:type="dxa"/>
            <w:tcMar>
              <w:top w:w="0" w:type="nil"/>
              <w:left w:w="0" w:type="nil"/>
              <w:bottom w:w="0" w:type="nil"/>
              <w:right w:w="0" w:type="nil"/>
            </w:tcMar>
          </w:tcPr>
          <w:p w14:paraId="5BD7939F" w14:textId="77777777" w:rsidR="00E911CF" w:rsidRDefault="00E911CF" w:rsidP="00E911CF">
            <w:r>
              <w:t>All current patches and updates should be applied.</w:t>
            </w:r>
          </w:p>
          <w:p w14:paraId="784734D1" w14:textId="77777777" w:rsidR="00E911CF" w:rsidRDefault="00E911CF" w:rsidP="00E911CF">
            <w:r>
              <w:t>This version is required for the directory sync tools.</w:t>
            </w:r>
          </w:p>
        </w:tc>
      </w:tr>
      <w:tr w:rsidR="00E911CF" w14:paraId="212C21CC" w14:textId="77777777" w:rsidTr="00D42B20">
        <w:tc>
          <w:tcPr>
            <w:tcW w:w="653" w:type="dxa"/>
            <w:tcMar>
              <w:top w:w="0" w:type="nil"/>
              <w:left w:w="0" w:type="nil"/>
              <w:bottom w:w="0" w:type="nil"/>
              <w:right w:w="0" w:type="nil"/>
            </w:tcMar>
          </w:tcPr>
          <w:p w14:paraId="107700B3" w14:textId="77777777" w:rsidR="00E911CF" w:rsidRDefault="00E911CF" w:rsidP="00E911CF">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40628E39" w14:textId="77777777" w:rsidR="00E911CF" w:rsidRDefault="00E911CF" w:rsidP="00E911CF">
            <w:r>
              <w:t>Priasoft Solution Tools</w:t>
            </w:r>
          </w:p>
        </w:tc>
        <w:tc>
          <w:tcPr>
            <w:tcW w:w="7735" w:type="dxa"/>
            <w:tcMar>
              <w:top w:w="0" w:type="nil"/>
              <w:left w:w="0" w:type="nil"/>
              <w:bottom w:w="0" w:type="nil"/>
              <w:right w:w="0" w:type="nil"/>
            </w:tcMar>
          </w:tcPr>
          <w:p w14:paraId="1FF6E738" w14:textId="77777777" w:rsidR="00E911CF" w:rsidRDefault="00E911CF" w:rsidP="00E911CF">
            <w:r>
              <w:t>The product components must be installed on this host.</w:t>
            </w:r>
          </w:p>
          <w:p w14:paraId="5E10FFE5" w14:textId="73A7EB67" w:rsidR="00E911CF" w:rsidRDefault="00E911CF" w:rsidP="00E911CF">
            <w:r>
              <w:t>Collaboration Suite (directory sync</w:t>
            </w:r>
            <w:r w:rsidR="0041579F">
              <w:t>, on-premises only</w:t>
            </w:r>
            <w:r>
              <w:t>)</w:t>
            </w:r>
          </w:p>
          <w:p w14:paraId="4D35E901" w14:textId="13FFECFF" w:rsidR="00E911CF" w:rsidRDefault="00E911CF" w:rsidP="00E911CF">
            <w:r>
              <w:t xml:space="preserve">Mailbox Migration Suite </w:t>
            </w:r>
          </w:p>
          <w:p w14:paraId="4A7D0DBF" w14:textId="77777777" w:rsidR="00E911CF" w:rsidRDefault="00E911CF" w:rsidP="00E911CF">
            <w:r>
              <w:t>Public Folder Toolbox</w:t>
            </w:r>
            <w:r w:rsidR="00381731">
              <w:t xml:space="preserve"> (if needed)</w:t>
            </w:r>
            <w:r>
              <w:t xml:space="preserve"> </w:t>
            </w:r>
          </w:p>
          <w:p w14:paraId="2212D62F" w14:textId="47AF9C65" w:rsidR="0041579F" w:rsidRDefault="0041579F" w:rsidP="00E911CF"/>
          <w:p w14:paraId="370FA7EF" w14:textId="50D04407" w:rsidR="0041579F" w:rsidRDefault="0041579F" w:rsidP="00E911CF">
            <w:r>
              <w:t xml:space="preserve">Installers can be found here:  </w:t>
            </w:r>
            <w:hyperlink r:id="rId10" w:history="1">
              <w:r w:rsidRPr="00881927">
                <w:rPr>
                  <w:rStyle w:val="Hyperlink"/>
                </w:rPr>
                <w:t>https://www.priasoft.com/downloads/applications</w:t>
              </w:r>
            </w:hyperlink>
          </w:p>
          <w:p w14:paraId="2838AC06" w14:textId="3A852CC2" w:rsidR="0041579F" w:rsidRDefault="0041579F" w:rsidP="00E911CF"/>
        </w:tc>
      </w:tr>
      <w:tr w:rsidR="00FA7A52" w14:paraId="23F9B862" w14:textId="77777777" w:rsidTr="00D42B20">
        <w:tc>
          <w:tcPr>
            <w:tcW w:w="653" w:type="dxa"/>
            <w:tcMar>
              <w:top w:w="0" w:type="nil"/>
              <w:left w:w="0" w:type="nil"/>
              <w:bottom w:w="0" w:type="nil"/>
              <w:right w:w="0" w:type="nil"/>
            </w:tcMar>
          </w:tcPr>
          <w:p w14:paraId="35194AC1" w14:textId="77777777" w:rsidR="00FA7A52" w:rsidRDefault="00FA7A52">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26559812" w14:textId="77777777" w:rsidR="00FA7A52" w:rsidRDefault="00300366" w:rsidP="007C42A8">
            <w:r>
              <w:t>Run Priasoft Migration Setup Utility</w:t>
            </w:r>
          </w:p>
        </w:tc>
        <w:tc>
          <w:tcPr>
            <w:tcW w:w="7735" w:type="dxa"/>
            <w:tcMar>
              <w:top w:w="0" w:type="nil"/>
              <w:left w:w="0" w:type="nil"/>
              <w:bottom w:w="0" w:type="nil"/>
              <w:right w:w="0" w:type="nil"/>
            </w:tcMar>
          </w:tcPr>
          <w:p w14:paraId="3CB7A8BB" w14:textId="77777777" w:rsidR="00FA7A52" w:rsidRDefault="00300366" w:rsidP="00300366">
            <w:r>
              <w:t>The setup guide (v2) above has step-by-step instructions on use, with screenshots.</w:t>
            </w:r>
          </w:p>
          <w:p w14:paraId="6CD0DEA1" w14:textId="77777777" w:rsidR="00300366" w:rsidRDefault="00300366" w:rsidP="00300366">
            <w:r>
              <w:t>The setup wizard must be run and service accounts created prior to first remote support session.</w:t>
            </w:r>
          </w:p>
        </w:tc>
      </w:tr>
      <w:tr w:rsidR="00FA7A52" w14:paraId="1220E208" w14:textId="77777777" w:rsidTr="00D42B20">
        <w:tc>
          <w:tcPr>
            <w:tcW w:w="653" w:type="dxa"/>
            <w:tcMar>
              <w:top w:w="0" w:type="nil"/>
              <w:left w:w="0" w:type="nil"/>
              <w:bottom w:w="0" w:type="nil"/>
              <w:right w:w="0" w:type="nil"/>
            </w:tcMar>
          </w:tcPr>
          <w:p w14:paraId="3E233EAD" w14:textId="77777777" w:rsidR="00FA7A52" w:rsidRDefault="004E60AE">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692839BA" w14:textId="77777777" w:rsidR="00FA7A52" w:rsidRDefault="004E60AE" w:rsidP="007C42A8">
            <w:r>
              <w:t>Generate License Request</w:t>
            </w:r>
          </w:p>
        </w:tc>
        <w:tc>
          <w:tcPr>
            <w:tcW w:w="7735" w:type="dxa"/>
            <w:tcMar>
              <w:top w:w="0" w:type="nil"/>
              <w:left w:w="0" w:type="nil"/>
              <w:bottom w:w="0" w:type="nil"/>
              <w:right w:w="0" w:type="nil"/>
            </w:tcMar>
          </w:tcPr>
          <w:p w14:paraId="473B8E54" w14:textId="5CED58D2" w:rsidR="00FA7A52" w:rsidRDefault="004E60AE" w:rsidP="00157CA0">
            <w:r>
              <w:t>Using the Priasoft License Wizard, generate a license request file</w:t>
            </w:r>
          </w:p>
          <w:p w14:paraId="52D00CB9" w14:textId="77777777" w:rsidR="003A15E4" w:rsidRDefault="003A15E4" w:rsidP="003A15E4">
            <w:pPr>
              <w:rPr>
                <w:i/>
                <w:color w:val="C00000"/>
              </w:rPr>
            </w:pPr>
            <w:r w:rsidRPr="003A15E4">
              <w:rPr>
                <w:i/>
                <w:color w:val="C00000"/>
              </w:rPr>
              <w:t>Note:  Each m</w:t>
            </w:r>
            <w:r>
              <w:rPr>
                <w:i/>
                <w:color w:val="C00000"/>
              </w:rPr>
              <w:t>igration host maintains its own</w:t>
            </w:r>
            <w:r w:rsidRPr="003A15E4">
              <w:rPr>
                <w:i/>
                <w:color w:val="C00000"/>
              </w:rPr>
              <w:t xml:space="preserve"> </w:t>
            </w:r>
            <w:r>
              <w:rPr>
                <w:i/>
                <w:color w:val="C00000"/>
              </w:rPr>
              <w:t>migration counter</w:t>
            </w:r>
            <w:r w:rsidRPr="003A15E4">
              <w:rPr>
                <w:i/>
                <w:color w:val="C00000"/>
              </w:rPr>
              <w:t>.  If multiple hosts are to be setup, generate a request from each host and inform your sales account manager how many licenses each host should receive.</w:t>
            </w:r>
          </w:p>
          <w:p w14:paraId="1284F7BE" w14:textId="77777777" w:rsidR="003A15E4" w:rsidRPr="003A15E4" w:rsidRDefault="003A15E4" w:rsidP="003A15E4">
            <w:pPr>
              <w:rPr>
                <w:i/>
              </w:rPr>
            </w:pPr>
            <w:r>
              <w:rPr>
                <w:i/>
                <w:color w:val="C00000"/>
              </w:rPr>
              <w:t>Licenses quantities can be transferred between hosts using the License Wizard.</w:t>
            </w:r>
          </w:p>
        </w:tc>
      </w:tr>
      <w:tr w:rsidR="00FA7A52" w14:paraId="03AB3257" w14:textId="77777777" w:rsidTr="00D42B20">
        <w:tc>
          <w:tcPr>
            <w:tcW w:w="653" w:type="dxa"/>
            <w:tcMar>
              <w:top w:w="0" w:type="nil"/>
              <w:left w:w="0" w:type="nil"/>
              <w:bottom w:w="0" w:type="nil"/>
              <w:right w:w="0" w:type="nil"/>
            </w:tcMar>
          </w:tcPr>
          <w:p w14:paraId="128C149E" w14:textId="77777777" w:rsidR="00FA7A52" w:rsidRDefault="004E60AE">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22FF9E5C" w14:textId="77777777" w:rsidR="00FA7A52" w:rsidRDefault="004E60AE" w:rsidP="007C42A8">
            <w:r>
              <w:t>Install License File</w:t>
            </w:r>
          </w:p>
        </w:tc>
        <w:tc>
          <w:tcPr>
            <w:tcW w:w="7735" w:type="dxa"/>
            <w:tcMar>
              <w:top w:w="0" w:type="nil"/>
              <w:left w:w="0" w:type="nil"/>
              <w:bottom w:w="0" w:type="nil"/>
              <w:right w:w="0" w:type="nil"/>
            </w:tcMar>
          </w:tcPr>
          <w:p w14:paraId="436AE24C" w14:textId="77777777" w:rsidR="004E60AE" w:rsidRDefault="004E60AE" w:rsidP="00157CA0">
            <w:r>
              <w:t>After the Priasoft Sales Team processes the license request, a license file will be returned via email.  The attached license file in the email must be installed using the License Wizard.</w:t>
            </w:r>
          </w:p>
          <w:p w14:paraId="76786442" w14:textId="77777777" w:rsidR="00FA7A52" w:rsidRDefault="004E60AE" w:rsidP="00157CA0">
            <w:r>
              <w:t>If the license file is a ZIP compressed file, it must be extracted prior to use; the License Wizard will not parse compressed archives.</w:t>
            </w:r>
          </w:p>
        </w:tc>
      </w:tr>
    </w:tbl>
    <w:p w14:paraId="59B6D88B" w14:textId="77777777" w:rsidR="007C42A8" w:rsidRDefault="007C42A8"/>
    <w:p w14:paraId="569E3B64" w14:textId="77777777" w:rsidR="004B04D4" w:rsidRDefault="004B04D4"/>
    <w:p w14:paraId="0F593E94" w14:textId="77777777" w:rsidR="004B04D4" w:rsidRDefault="004B04D4"/>
    <w:p w14:paraId="6DC25FAC" w14:textId="77777777" w:rsidR="004B04D4" w:rsidRDefault="004B04D4">
      <w:pPr>
        <w:spacing w:before="0" w:after="0"/>
      </w:pPr>
    </w:p>
    <w:p w14:paraId="54DD3442" w14:textId="77777777" w:rsidR="004B04D4" w:rsidRDefault="004B04D4">
      <w:pPr>
        <w:spacing w:before="0" w:after="0"/>
      </w:pPr>
    </w:p>
    <w:p w14:paraId="452A9BAC" w14:textId="77777777" w:rsidR="004B04D4" w:rsidRDefault="004B04D4">
      <w:pPr>
        <w:spacing w:before="0" w:after="0"/>
      </w:pPr>
    </w:p>
    <w:p w14:paraId="0EA2EB35" w14:textId="77777777" w:rsidR="004B04D4" w:rsidRDefault="004B04D4">
      <w:pPr>
        <w:spacing w:before="0" w:after="0"/>
      </w:pPr>
    </w:p>
    <w:p w14:paraId="1B25FBF1" w14:textId="77777777" w:rsidR="004B04D4" w:rsidRDefault="004B04D4">
      <w:pPr>
        <w:spacing w:before="0" w:after="0"/>
      </w:pPr>
    </w:p>
    <w:p w14:paraId="1B3EFC0F" w14:textId="77777777" w:rsidR="004B04D4" w:rsidRDefault="004B04D4">
      <w:pPr>
        <w:spacing w:before="0" w:after="0"/>
      </w:pPr>
    </w:p>
    <w:p w14:paraId="5A588511" w14:textId="77777777" w:rsidR="004B04D4" w:rsidRDefault="004B04D4" w:rsidP="004B04D4">
      <w:pPr>
        <w:spacing w:before="0" w:after="0"/>
        <w:jc w:val="center"/>
      </w:pPr>
      <w:r>
        <w:t>(see the next page for the remote session training steps and checklists)</w:t>
      </w:r>
      <w:r>
        <w:br w:type="page"/>
      </w:r>
    </w:p>
    <w:p w14:paraId="10F5D12B" w14:textId="77777777" w:rsidR="004B04D4" w:rsidRDefault="004B04D4" w:rsidP="004B04D4">
      <w:pPr>
        <w:pStyle w:val="Heading1"/>
      </w:pPr>
      <w:r>
        <w:lastRenderedPageBreak/>
        <w:t>Pre-Migration Testing and Training Sessions</w:t>
      </w:r>
    </w:p>
    <w:p w14:paraId="416618FE" w14:textId="77777777" w:rsidR="004B04D4" w:rsidRDefault="004B04D4" w:rsidP="004B04D4"/>
    <w:p w14:paraId="04D98EDC" w14:textId="77777777" w:rsidR="004B04D4" w:rsidRDefault="004B04D4" w:rsidP="004B04D4">
      <w:r>
        <w:t>This session, which may span more than one day depending up on available time, will cover the following elements of a migration:</w:t>
      </w:r>
    </w:p>
    <w:p w14:paraId="294A4572" w14:textId="77777777" w:rsidR="004B04D4" w:rsidRDefault="004B04D4" w:rsidP="004B04D4">
      <w:pPr>
        <w:pStyle w:val="ListParagraph"/>
        <w:numPr>
          <w:ilvl w:val="0"/>
          <w:numId w:val="34"/>
        </w:numPr>
      </w:pPr>
      <w:r>
        <w:t>Address Book and Directory Synchronization</w:t>
      </w:r>
    </w:p>
    <w:p w14:paraId="2156F0BF" w14:textId="77777777" w:rsidR="004B04D4" w:rsidRDefault="004B04D4" w:rsidP="004B04D4">
      <w:pPr>
        <w:pStyle w:val="ListParagraph"/>
        <w:numPr>
          <w:ilvl w:val="0"/>
          <w:numId w:val="34"/>
        </w:numPr>
      </w:pPr>
      <w:r>
        <w:t>Outlook profile updates, deployment, and configuration</w:t>
      </w:r>
    </w:p>
    <w:p w14:paraId="1F5E8A0F" w14:textId="77777777" w:rsidR="004B04D4" w:rsidRDefault="004B04D4" w:rsidP="004B04D4">
      <w:pPr>
        <w:pStyle w:val="ListParagraph"/>
        <w:numPr>
          <w:ilvl w:val="0"/>
          <w:numId w:val="34"/>
        </w:numPr>
      </w:pPr>
      <w:r>
        <w:t>Public folder tasks</w:t>
      </w:r>
    </w:p>
    <w:p w14:paraId="08E31D8C" w14:textId="77777777" w:rsidR="004B04D4" w:rsidRDefault="004B04D4" w:rsidP="004B04D4">
      <w:pPr>
        <w:pStyle w:val="ListParagraph"/>
        <w:numPr>
          <w:ilvl w:val="0"/>
          <w:numId w:val="34"/>
        </w:numPr>
      </w:pPr>
      <w:r>
        <w:t>Dry-run exercises</w:t>
      </w:r>
    </w:p>
    <w:p w14:paraId="0BF12AE7" w14:textId="77777777" w:rsidR="005071A2" w:rsidRDefault="005071A2" w:rsidP="004B04D4">
      <w:pPr>
        <w:pStyle w:val="ListParagraph"/>
        <w:numPr>
          <w:ilvl w:val="0"/>
          <w:numId w:val="34"/>
        </w:numPr>
      </w:pPr>
      <w:r>
        <w:t>Single-Sign-On</w:t>
      </w:r>
    </w:p>
    <w:p w14:paraId="3E078562" w14:textId="77777777" w:rsidR="004B04D4" w:rsidRDefault="004B04D4" w:rsidP="004B04D4">
      <w:pPr>
        <w:pStyle w:val="ListParagraph"/>
        <w:numPr>
          <w:ilvl w:val="0"/>
          <w:numId w:val="34"/>
        </w:numPr>
      </w:pPr>
      <w:r>
        <w:t>Pre-pilot testing</w:t>
      </w:r>
    </w:p>
    <w:p w14:paraId="4194D38C" w14:textId="77777777" w:rsidR="004B04D4" w:rsidRDefault="004B04D4" w:rsidP="004B04D4">
      <w:pPr>
        <w:pStyle w:val="ListParagraph"/>
        <w:numPr>
          <w:ilvl w:val="0"/>
          <w:numId w:val="34"/>
        </w:numPr>
      </w:pPr>
      <w:r>
        <w:t>Batching and orchestration</w:t>
      </w:r>
    </w:p>
    <w:p w14:paraId="05847EA0" w14:textId="77777777" w:rsidR="004B04D4" w:rsidRPr="004B04D4" w:rsidRDefault="004B04D4" w:rsidP="004B04D4">
      <w:pPr>
        <w:pStyle w:val="ListParagraph"/>
        <w:numPr>
          <w:ilvl w:val="0"/>
          <w:numId w:val="34"/>
        </w:numPr>
      </w:pPr>
      <w:r>
        <w:t>Scheduling</w:t>
      </w:r>
    </w:p>
    <w:p w14:paraId="46FA6EA8" w14:textId="77777777" w:rsidR="004B04D4" w:rsidRDefault="004B04D4"/>
    <w:p w14:paraId="1073F528" w14:textId="77777777" w:rsidR="00366D88" w:rsidRDefault="00366D88"/>
    <w:p w14:paraId="4B90B601" w14:textId="77777777" w:rsidR="00366D88" w:rsidRDefault="00366D88" w:rsidP="004E67DC">
      <w:pPr>
        <w:pStyle w:val="Heading2"/>
      </w:pPr>
      <w:r>
        <w:t>Address Book and Directory Sync</w:t>
      </w:r>
    </w:p>
    <w:p w14:paraId="09A3203B" w14:textId="77777777" w:rsidR="00366D88" w:rsidRDefault="00366D88">
      <w:r>
        <w:t>This step in the process will be used to discuss and analyze the current “Address Book” of the source environment.  Additionally, a test of the Priasoft Collaboration Suite will be made to validate its use in the environments and to provide some high-level training.</w:t>
      </w:r>
    </w:p>
    <w:p w14:paraId="52181F12" w14:textId="77777777" w:rsidR="00366D88" w:rsidRDefault="00366D88"/>
    <w:p w14:paraId="026CD2C1" w14:textId="77777777" w:rsidR="00366D88" w:rsidRDefault="00366D88">
      <w:r>
        <w:t>The use of the Priasoft Collaboration Suite is expected in the following migration scenarios:</w:t>
      </w:r>
    </w:p>
    <w:p w14:paraId="23DDE818" w14:textId="77777777" w:rsidR="00366D88" w:rsidRPr="00366D88" w:rsidRDefault="00366D88" w:rsidP="00366D88">
      <w:pPr>
        <w:pStyle w:val="ListParagraph"/>
        <w:numPr>
          <w:ilvl w:val="0"/>
          <w:numId w:val="36"/>
        </w:numPr>
        <w:autoSpaceDE w:val="0"/>
        <w:autoSpaceDN w:val="0"/>
        <w:adjustRightInd w:val="0"/>
        <w:spacing w:before="0" w:after="0"/>
        <w:rPr>
          <w:rFonts w:ascii="MS Shell Dlg 2" w:hAnsi="MS Shell Dlg 2" w:cs="MS Shell Dlg 2"/>
          <w:sz w:val="16"/>
          <w:szCs w:val="16"/>
        </w:rPr>
      </w:pPr>
      <w:r>
        <w:t>Exchange-to-Exchange, cross-forest</w:t>
      </w:r>
    </w:p>
    <w:p w14:paraId="131D9A1F" w14:textId="77777777" w:rsidR="00366D88" w:rsidRPr="00366D88" w:rsidRDefault="00366D88" w:rsidP="00366D88">
      <w:pPr>
        <w:pStyle w:val="ListParagraph"/>
        <w:numPr>
          <w:ilvl w:val="1"/>
          <w:numId w:val="36"/>
        </w:numPr>
        <w:autoSpaceDE w:val="0"/>
        <w:autoSpaceDN w:val="0"/>
        <w:adjustRightInd w:val="0"/>
        <w:spacing w:before="0" w:after="0"/>
        <w:rPr>
          <w:rFonts w:ascii="MS Shell Dlg 2" w:hAnsi="MS Shell Dlg 2" w:cs="MS Shell Dlg 2"/>
          <w:sz w:val="16"/>
          <w:szCs w:val="16"/>
        </w:rPr>
      </w:pPr>
      <w:r>
        <w:t>This is an on-premises migration, across a domain/forest boundary between 2 distinct Exchange deployments.</w:t>
      </w:r>
    </w:p>
    <w:p w14:paraId="71AE409F" w14:textId="77777777" w:rsidR="00366D88" w:rsidRPr="00366D88" w:rsidRDefault="00366D88" w:rsidP="00366D88">
      <w:pPr>
        <w:pStyle w:val="ListParagraph"/>
        <w:numPr>
          <w:ilvl w:val="0"/>
          <w:numId w:val="36"/>
        </w:numPr>
        <w:autoSpaceDE w:val="0"/>
        <w:autoSpaceDN w:val="0"/>
        <w:adjustRightInd w:val="0"/>
        <w:spacing w:before="0" w:after="0"/>
        <w:rPr>
          <w:rFonts w:ascii="MS Shell Dlg 2" w:hAnsi="MS Shell Dlg 2" w:cs="MS Shell Dlg 2"/>
          <w:sz w:val="16"/>
          <w:szCs w:val="16"/>
        </w:rPr>
      </w:pPr>
      <w:r>
        <w:t>Exchange-to-Office365, External</w:t>
      </w:r>
    </w:p>
    <w:p w14:paraId="44F1F7CB" w14:textId="77777777" w:rsidR="00366D88" w:rsidRPr="00366D88" w:rsidRDefault="00366D88" w:rsidP="00366D88">
      <w:pPr>
        <w:pStyle w:val="ListParagraph"/>
        <w:numPr>
          <w:ilvl w:val="1"/>
          <w:numId w:val="36"/>
        </w:numPr>
        <w:autoSpaceDE w:val="0"/>
        <w:autoSpaceDN w:val="0"/>
        <w:adjustRightInd w:val="0"/>
        <w:spacing w:before="0" w:after="0"/>
        <w:rPr>
          <w:rFonts w:ascii="MS Shell Dlg 2" w:hAnsi="MS Shell Dlg 2" w:cs="MS Shell Dlg 2"/>
          <w:sz w:val="16"/>
          <w:szCs w:val="16"/>
        </w:rPr>
      </w:pPr>
      <w:r>
        <w:t>This is an on-premises to cloud migration, where the source Exchange deployment is NOT synchronizing Active Directory to the Office 365 tenant.</w:t>
      </w:r>
    </w:p>
    <w:p w14:paraId="11BBED1B" w14:textId="77777777" w:rsidR="00366D88" w:rsidRPr="00366D88" w:rsidRDefault="00366D88" w:rsidP="00366D88">
      <w:pPr>
        <w:pStyle w:val="ListParagraph"/>
        <w:numPr>
          <w:ilvl w:val="1"/>
          <w:numId w:val="36"/>
        </w:numPr>
        <w:autoSpaceDE w:val="0"/>
        <w:autoSpaceDN w:val="0"/>
        <w:adjustRightInd w:val="0"/>
        <w:spacing w:before="0" w:after="0"/>
        <w:rPr>
          <w:rFonts w:ascii="MS Shell Dlg 2" w:hAnsi="MS Shell Dlg 2" w:cs="MS Shell Dlg 2"/>
          <w:sz w:val="16"/>
          <w:szCs w:val="16"/>
        </w:rPr>
      </w:pPr>
      <w:r>
        <w:t>The Office 365 tenant is synchronizing with a separate Active Directory instance that does not service the source Exchange platform.</w:t>
      </w:r>
    </w:p>
    <w:p w14:paraId="7183EDC9" w14:textId="77777777" w:rsidR="00366D88" w:rsidRPr="00366D88" w:rsidRDefault="00366D88" w:rsidP="00366D88">
      <w:pPr>
        <w:pStyle w:val="ListParagraph"/>
        <w:numPr>
          <w:ilvl w:val="1"/>
          <w:numId w:val="36"/>
        </w:numPr>
        <w:autoSpaceDE w:val="0"/>
        <w:autoSpaceDN w:val="0"/>
        <w:adjustRightInd w:val="0"/>
        <w:spacing w:before="0" w:after="0"/>
        <w:rPr>
          <w:rFonts w:ascii="MS Shell Dlg 2" w:hAnsi="MS Shell Dlg 2" w:cs="MS Shell Dlg 2"/>
          <w:sz w:val="16"/>
          <w:szCs w:val="16"/>
        </w:rPr>
      </w:pPr>
      <w:r>
        <w:t>The Priasoft Collaboration Suite is used to carry the mail objects from Exchange to the target, synchronizing Active Directory first, and then those changes are sync’d to Office 365 by the Microsoft sync (AADC).</w:t>
      </w:r>
    </w:p>
    <w:p w14:paraId="6D463513" w14:textId="77777777" w:rsidR="00366D88" w:rsidRPr="00366D88" w:rsidRDefault="00366D88" w:rsidP="00366D88">
      <w:pPr>
        <w:pStyle w:val="ListParagraph"/>
        <w:numPr>
          <w:ilvl w:val="0"/>
          <w:numId w:val="36"/>
        </w:numPr>
        <w:autoSpaceDE w:val="0"/>
        <w:autoSpaceDN w:val="0"/>
        <w:adjustRightInd w:val="0"/>
        <w:spacing w:before="0" w:after="0"/>
        <w:rPr>
          <w:rFonts w:ascii="MS Shell Dlg 2" w:hAnsi="MS Shell Dlg 2" w:cs="MS Shell Dlg 2"/>
          <w:sz w:val="16"/>
          <w:szCs w:val="16"/>
        </w:rPr>
      </w:pPr>
      <w:r>
        <w:t>Office365-to-Exchange, Cross-Tenant</w:t>
      </w:r>
    </w:p>
    <w:p w14:paraId="396EF9E3" w14:textId="77777777" w:rsidR="00366D88" w:rsidRPr="00366D88" w:rsidRDefault="00366D88" w:rsidP="00366D88">
      <w:pPr>
        <w:pStyle w:val="ListParagraph"/>
        <w:numPr>
          <w:ilvl w:val="1"/>
          <w:numId w:val="36"/>
        </w:numPr>
        <w:autoSpaceDE w:val="0"/>
        <w:autoSpaceDN w:val="0"/>
        <w:adjustRightInd w:val="0"/>
        <w:spacing w:before="0" w:after="0"/>
        <w:rPr>
          <w:rFonts w:ascii="MS Shell Dlg 2" w:hAnsi="MS Shell Dlg 2" w:cs="MS Shell Dlg 2"/>
          <w:sz w:val="16"/>
          <w:szCs w:val="16"/>
        </w:rPr>
      </w:pPr>
      <w:r>
        <w:t xml:space="preserve">This is a cloud to on-premises migration, where the source Office 365 tenant is synchronizing with an Active Directory instance that is distinct and separate from the target Exchange platform. </w:t>
      </w:r>
    </w:p>
    <w:p w14:paraId="7175472A" w14:textId="77777777" w:rsidR="00366D88" w:rsidRPr="00366D88" w:rsidRDefault="00366D88" w:rsidP="00366D88">
      <w:pPr>
        <w:pStyle w:val="ListParagraph"/>
        <w:numPr>
          <w:ilvl w:val="1"/>
          <w:numId w:val="36"/>
        </w:numPr>
        <w:autoSpaceDE w:val="0"/>
        <w:autoSpaceDN w:val="0"/>
        <w:adjustRightInd w:val="0"/>
        <w:spacing w:before="0" w:after="0"/>
        <w:rPr>
          <w:rFonts w:ascii="MS Shell Dlg 2" w:hAnsi="MS Shell Dlg 2" w:cs="MS Shell Dlg 2"/>
          <w:sz w:val="16"/>
          <w:szCs w:val="16"/>
        </w:rPr>
      </w:pPr>
      <w:r>
        <w:t>The Priasoft Collaboration suite is used to bring the mail objects from the synchronized source directory to the target Exchange directory.</w:t>
      </w:r>
    </w:p>
    <w:p w14:paraId="3B37FDF6" w14:textId="77777777" w:rsidR="00366D88" w:rsidRPr="00366D88" w:rsidRDefault="00366D88" w:rsidP="00366D88">
      <w:pPr>
        <w:pStyle w:val="ListParagraph"/>
        <w:numPr>
          <w:ilvl w:val="1"/>
          <w:numId w:val="36"/>
        </w:numPr>
        <w:autoSpaceDE w:val="0"/>
        <w:autoSpaceDN w:val="0"/>
        <w:adjustRightInd w:val="0"/>
        <w:spacing w:before="0" w:after="0"/>
        <w:rPr>
          <w:rFonts w:ascii="MS Shell Dlg 2" w:hAnsi="MS Shell Dlg 2" w:cs="MS Shell Dlg 2"/>
          <w:sz w:val="16"/>
          <w:szCs w:val="16"/>
        </w:rPr>
      </w:pPr>
      <w:r>
        <w:t>The target Exchange platform may or may not be synchronizing with a separate Office 365 tenant.</w:t>
      </w:r>
    </w:p>
    <w:p w14:paraId="6E1688D3" w14:textId="77777777" w:rsidR="00366D88" w:rsidRPr="00366D88" w:rsidRDefault="00366D88" w:rsidP="00366D88">
      <w:pPr>
        <w:pStyle w:val="ListParagraph"/>
        <w:numPr>
          <w:ilvl w:val="0"/>
          <w:numId w:val="36"/>
        </w:numPr>
        <w:autoSpaceDE w:val="0"/>
        <w:autoSpaceDN w:val="0"/>
        <w:adjustRightInd w:val="0"/>
        <w:spacing w:before="0" w:after="0"/>
        <w:rPr>
          <w:rFonts w:ascii="MS Shell Dlg 2" w:hAnsi="MS Shell Dlg 2" w:cs="MS Shell Dlg 2"/>
          <w:sz w:val="16"/>
          <w:szCs w:val="16"/>
        </w:rPr>
      </w:pPr>
      <w:r>
        <w:t>Office365-to-Office365, Sync or Hybrid</w:t>
      </w:r>
    </w:p>
    <w:p w14:paraId="718C0B46" w14:textId="77777777" w:rsidR="00366D88" w:rsidRPr="004E67DC" w:rsidRDefault="00366D88" w:rsidP="00366D88">
      <w:pPr>
        <w:pStyle w:val="ListParagraph"/>
        <w:numPr>
          <w:ilvl w:val="1"/>
          <w:numId w:val="36"/>
        </w:numPr>
        <w:autoSpaceDE w:val="0"/>
        <w:autoSpaceDN w:val="0"/>
        <w:adjustRightInd w:val="0"/>
        <w:spacing w:before="0" w:after="0"/>
        <w:rPr>
          <w:rFonts w:ascii="MS Shell Dlg 2" w:hAnsi="MS Shell Dlg 2" w:cs="MS Shell Dlg 2"/>
          <w:sz w:val="16"/>
          <w:szCs w:val="16"/>
        </w:rPr>
      </w:pPr>
      <w:r>
        <w:t xml:space="preserve">This is a cloud to </w:t>
      </w:r>
      <w:r w:rsidR="004E67DC">
        <w:t>cloud migration scenario where both the source and target Office 365 tenants have on-premises Active Directory instances that are being synchronized.</w:t>
      </w:r>
    </w:p>
    <w:p w14:paraId="249969C1" w14:textId="77777777" w:rsidR="004E67DC" w:rsidRDefault="004E67DC" w:rsidP="00366D88">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The Priasoft Collaboration Suite is used to bring the mail objects form the source directory to the target directory.  The Microsoft sync (AADC) will then push the changes made up to the target tenant.</w:t>
      </w:r>
    </w:p>
    <w:p w14:paraId="2C7AC531" w14:textId="77777777" w:rsidR="004E67DC" w:rsidRDefault="004E67DC" w:rsidP="004E67DC">
      <w:pPr>
        <w:autoSpaceDE w:val="0"/>
        <w:autoSpaceDN w:val="0"/>
        <w:adjustRightInd w:val="0"/>
        <w:spacing w:before="0" w:after="0"/>
        <w:rPr>
          <w:rFonts w:ascii="MS Shell Dlg 2" w:hAnsi="MS Shell Dlg 2" w:cs="MS Shell Dlg 2"/>
          <w:sz w:val="16"/>
          <w:szCs w:val="16"/>
        </w:rPr>
      </w:pPr>
    </w:p>
    <w:p w14:paraId="7CEBA57D" w14:textId="77777777" w:rsidR="004E67DC" w:rsidRPr="004E67DC" w:rsidRDefault="004E67DC" w:rsidP="004E67DC">
      <w:pPr>
        <w:autoSpaceDE w:val="0"/>
        <w:autoSpaceDN w:val="0"/>
        <w:adjustRightInd w:val="0"/>
        <w:spacing w:before="0" w:after="0"/>
        <w:rPr>
          <w:rFonts w:ascii="MS Shell Dlg 2" w:hAnsi="MS Shell Dlg 2" w:cs="MS Shell Dlg 2"/>
          <w:color w:val="C00000"/>
          <w:sz w:val="16"/>
          <w:szCs w:val="16"/>
        </w:rPr>
      </w:pPr>
      <w:r>
        <w:rPr>
          <w:rFonts w:ascii="MS Shell Dlg 2" w:hAnsi="MS Shell Dlg 2" w:cs="MS Shell Dlg 2"/>
          <w:color w:val="C00000"/>
          <w:sz w:val="16"/>
          <w:szCs w:val="16"/>
        </w:rPr>
        <w:t xml:space="preserve">NOTE: </w:t>
      </w:r>
      <w:r w:rsidRPr="004E67DC">
        <w:rPr>
          <w:rFonts w:ascii="MS Shell Dlg 2" w:hAnsi="MS Shell Dlg 2" w:cs="MS Shell Dlg 2"/>
          <w:color w:val="C00000"/>
          <w:sz w:val="16"/>
          <w:szCs w:val="16"/>
        </w:rPr>
        <w:t>For same-forest, and Office 365 scenarios that do not match exactly the above list, the Priasoft Collaboration suite is not used and testing and training will skip this section.</w:t>
      </w:r>
    </w:p>
    <w:p w14:paraId="7738B18E" w14:textId="77777777" w:rsidR="00366D88" w:rsidRDefault="00366D88" w:rsidP="00366D88">
      <w:pPr>
        <w:autoSpaceDE w:val="0"/>
        <w:autoSpaceDN w:val="0"/>
        <w:adjustRightInd w:val="0"/>
        <w:spacing w:before="0" w:after="0"/>
        <w:rPr>
          <w:rFonts w:ascii="MS Shell Dlg 2" w:hAnsi="MS Shell Dlg 2" w:cs="MS Shell Dlg 2"/>
          <w:sz w:val="16"/>
          <w:szCs w:val="16"/>
        </w:rPr>
      </w:pPr>
    </w:p>
    <w:p w14:paraId="55008C3F" w14:textId="77777777" w:rsidR="00366D88" w:rsidRPr="00366D88" w:rsidRDefault="00366D88" w:rsidP="00366D88">
      <w:pPr>
        <w:autoSpaceDE w:val="0"/>
        <w:autoSpaceDN w:val="0"/>
        <w:adjustRightInd w:val="0"/>
        <w:spacing w:before="0" w:after="0"/>
        <w:rPr>
          <w:rFonts w:ascii="MS Shell Dlg 2" w:hAnsi="MS Shell Dlg 2" w:cs="MS Shell Dlg 2"/>
          <w:sz w:val="16"/>
          <w:szCs w:val="16"/>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53"/>
        <w:gridCol w:w="2402"/>
        <w:gridCol w:w="7735"/>
      </w:tblGrid>
      <w:tr w:rsidR="004B04D4" w14:paraId="5A8039CF" w14:textId="77777777" w:rsidTr="004E67DC">
        <w:tc>
          <w:tcPr>
            <w:tcW w:w="10790" w:type="dxa"/>
            <w:gridSpan w:val="3"/>
            <w:shd w:val="clear" w:color="auto" w:fill="DBE5F1" w:themeFill="accent1" w:themeFillTint="33"/>
            <w:tcMar>
              <w:top w:w="0" w:type="nil"/>
              <w:left w:w="0" w:type="nil"/>
              <w:bottom w:w="0" w:type="nil"/>
              <w:right w:w="0" w:type="nil"/>
            </w:tcMar>
          </w:tcPr>
          <w:p w14:paraId="111129E0" w14:textId="77777777" w:rsidR="004B04D4" w:rsidRDefault="00366D88" w:rsidP="00366D88">
            <w:pPr>
              <w:pStyle w:val="Heading2"/>
              <w:tabs>
                <w:tab w:val="left" w:pos="3457"/>
              </w:tabs>
            </w:pPr>
            <w:r>
              <w:t>Address book and Directory sync</w:t>
            </w:r>
            <w:r w:rsidR="004B04D4">
              <w:t xml:space="preserve"> CHECKLIST </w:t>
            </w:r>
            <w:r w:rsidR="004B04D4" w:rsidRPr="00A974CD">
              <w:rPr>
                <w:sz w:val="24"/>
              </w:rPr>
              <w:tab/>
            </w:r>
            <w:r w:rsidR="004B04D4" w:rsidRPr="00A974CD">
              <w:rPr>
                <w:sz w:val="24"/>
              </w:rPr>
              <w:br/>
            </w:r>
            <w:r w:rsidR="004B04D4">
              <w:rPr>
                <w:b w:val="0"/>
                <w:sz w:val="16"/>
              </w:rPr>
              <w:t>Elements below are presented in the recommended order of operation.</w:t>
            </w:r>
          </w:p>
        </w:tc>
      </w:tr>
      <w:tr w:rsidR="004B04D4" w14:paraId="340A3977" w14:textId="77777777" w:rsidTr="004E67DC">
        <w:tc>
          <w:tcPr>
            <w:tcW w:w="653" w:type="dxa"/>
            <w:tcMar>
              <w:top w:w="0" w:type="nil"/>
              <w:left w:w="0" w:type="nil"/>
              <w:bottom w:w="0" w:type="nil"/>
              <w:right w:w="0" w:type="nil"/>
            </w:tcMar>
          </w:tcPr>
          <w:p w14:paraId="0436A653" w14:textId="77777777" w:rsidR="004B04D4" w:rsidRDefault="004B04D4"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3F9775C0" w14:textId="77777777" w:rsidR="004B04D4" w:rsidRDefault="004E67DC" w:rsidP="004E67DC">
            <w:r>
              <w:t>Analysis of Source Address Book</w:t>
            </w:r>
          </w:p>
        </w:tc>
        <w:tc>
          <w:tcPr>
            <w:tcW w:w="7735" w:type="dxa"/>
            <w:tcMar>
              <w:top w:w="0" w:type="nil"/>
              <w:left w:w="0" w:type="nil"/>
              <w:bottom w:w="0" w:type="nil"/>
              <w:right w:w="0" w:type="nil"/>
            </w:tcMar>
          </w:tcPr>
          <w:p w14:paraId="308D180C" w14:textId="77777777" w:rsidR="004B04D4" w:rsidRDefault="004E67DC" w:rsidP="004E67DC">
            <w:r>
              <w:t>Priasoft support will discuss and analyze the source Address Book.  Discussion points include:</w:t>
            </w:r>
          </w:p>
          <w:p w14:paraId="2FE06146" w14:textId="77777777" w:rsidR="004E67DC" w:rsidRDefault="004E67DC" w:rsidP="004E67DC">
            <w:pPr>
              <w:pStyle w:val="ListParagraph"/>
              <w:numPr>
                <w:ilvl w:val="0"/>
                <w:numId w:val="36"/>
              </w:numPr>
            </w:pPr>
            <w:r>
              <w:t>Sync of some or all source objects.</w:t>
            </w:r>
          </w:p>
          <w:p w14:paraId="4E0076E5" w14:textId="77777777" w:rsidR="004E67DC" w:rsidRDefault="004E67DC" w:rsidP="004E67DC">
            <w:pPr>
              <w:pStyle w:val="ListParagraph"/>
              <w:numPr>
                <w:ilvl w:val="0"/>
                <w:numId w:val="36"/>
              </w:numPr>
            </w:pPr>
            <w:r>
              <w:t>Effects of excluding some objects.</w:t>
            </w:r>
          </w:p>
          <w:p w14:paraId="02DE1F70" w14:textId="77777777" w:rsidR="004E67DC" w:rsidRDefault="004E67DC" w:rsidP="004E67DC">
            <w:pPr>
              <w:pStyle w:val="ListParagraph"/>
              <w:numPr>
                <w:ilvl w:val="0"/>
                <w:numId w:val="36"/>
              </w:numPr>
            </w:pPr>
            <w:r>
              <w:t>Handling of pre-existing target objects.</w:t>
            </w:r>
          </w:p>
          <w:p w14:paraId="1E68C2E9" w14:textId="77777777" w:rsidR="004E67DC" w:rsidRDefault="004E67DC" w:rsidP="004E67DC">
            <w:pPr>
              <w:pStyle w:val="ListParagraph"/>
              <w:numPr>
                <w:ilvl w:val="0"/>
                <w:numId w:val="36"/>
              </w:numPr>
            </w:pPr>
            <w:r>
              <w:t>Supported address book object types.</w:t>
            </w:r>
          </w:p>
        </w:tc>
      </w:tr>
      <w:tr w:rsidR="004E67DC" w14:paraId="2DCCEB59" w14:textId="77777777" w:rsidTr="004E67DC">
        <w:tc>
          <w:tcPr>
            <w:tcW w:w="653" w:type="dxa"/>
            <w:tcMar>
              <w:top w:w="0" w:type="nil"/>
              <w:left w:w="0" w:type="nil"/>
              <w:bottom w:w="0" w:type="nil"/>
              <w:right w:w="0" w:type="nil"/>
            </w:tcMar>
          </w:tcPr>
          <w:p w14:paraId="074B6C64" w14:textId="77777777" w:rsidR="004E67DC" w:rsidRDefault="006001D2"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7389E9DA" w14:textId="77777777" w:rsidR="004E67DC" w:rsidRDefault="004E67DC" w:rsidP="004E67DC">
            <w:r>
              <w:t>Creation of test objects</w:t>
            </w:r>
          </w:p>
        </w:tc>
        <w:tc>
          <w:tcPr>
            <w:tcW w:w="7735" w:type="dxa"/>
            <w:tcMar>
              <w:top w:w="0" w:type="nil"/>
              <w:left w:w="0" w:type="nil"/>
              <w:bottom w:w="0" w:type="nil"/>
              <w:right w:w="0" w:type="nil"/>
            </w:tcMar>
          </w:tcPr>
          <w:p w14:paraId="0CDD52E0" w14:textId="77777777" w:rsidR="004E67DC" w:rsidRDefault="004E67DC" w:rsidP="004E67DC">
            <w:r>
              <w:t>In order to test and train on the use of the Priasoft Collaboration Suite, it is recommended that a few test objects be created in the source environment for this purpose.</w:t>
            </w:r>
          </w:p>
          <w:p w14:paraId="21C10676" w14:textId="77777777" w:rsidR="004E67DC" w:rsidRDefault="004E67DC" w:rsidP="004E67DC">
            <w:pPr>
              <w:pStyle w:val="ListParagraph"/>
              <w:numPr>
                <w:ilvl w:val="0"/>
                <w:numId w:val="36"/>
              </w:numPr>
            </w:pPr>
            <w:r>
              <w:t>Creation of one or more mailbox objects</w:t>
            </w:r>
          </w:p>
          <w:p w14:paraId="0521A15B" w14:textId="77777777" w:rsidR="004E67DC" w:rsidRDefault="004E67DC" w:rsidP="004E67DC">
            <w:pPr>
              <w:pStyle w:val="ListParagraph"/>
              <w:numPr>
                <w:ilvl w:val="0"/>
                <w:numId w:val="36"/>
              </w:numPr>
            </w:pPr>
            <w:r>
              <w:t>Creation of one or more contact objects, if necessary</w:t>
            </w:r>
          </w:p>
          <w:p w14:paraId="7637D448" w14:textId="77777777" w:rsidR="004E67DC" w:rsidRDefault="004E67DC" w:rsidP="004E67DC">
            <w:pPr>
              <w:pStyle w:val="ListParagraph"/>
              <w:numPr>
                <w:ilvl w:val="0"/>
                <w:numId w:val="36"/>
              </w:numPr>
            </w:pPr>
            <w:r>
              <w:t>Creation of one or more mail-user objects, if necessary</w:t>
            </w:r>
          </w:p>
          <w:p w14:paraId="56D7BF26" w14:textId="77777777" w:rsidR="004E67DC" w:rsidRDefault="004E67DC" w:rsidP="004E67DC">
            <w:pPr>
              <w:pStyle w:val="ListParagraph"/>
              <w:numPr>
                <w:ilvl w:val="0"/>
                <w:numId w:val="36"/>
              </w:numPr>
            </w:pPr>
            <w:r>
              <w:t>Creation of two or more mail-groups, with at least one group being a member of another</w:t>
            </w:r>
          </w:p>
        </w:tc>
      </w:tr>
      <w:tr w:rsidR="004E67DC" w14:paraId="7422822B" w14:textId="77777777" w:rsidTr="004E67DC">
        <w:tc>
          <w:tcPr>
            <w:tcW w:w="653" w:type="dxa"/>
            <w:tcMar>
              <w:top w:w="0" w:type="nil"/>
              <w:left w:w="0" w:type="nil"/>
              <w:bottom w:w="0" w:type="nil"/>
              <w:right w:w="0" w:type="nil"/>
            </w:tcMar>
          </w:tcPr>
          <w:p w14:paraId="296D874E" w14:textId="77777777" w:rsidR="004E67DC" w:rsidRDefault="006001D2"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69EC8A3C" w14:textId="77777777" w:rsidR="004E67DC" w:rsidRDefault="004E67DC" w:rsidP="004E67DC">
            <w:r>
              <w:t>Creation of Sync Agreements</w:t>
            </w:r>
          </w:p>
        </w:tc>
        <w:tc>
          <w:tcPr>
            <w:tcW w:w="7735" w:type="dxa"/>
            <w:tcMar>
              <w:top w:w="0" w:type="nil"/>
              <w:left w:w="0" w:type="nil"/>
              <w:bottom w:w="0" w:type="nil"/>
              <w:right w:w="0" w:type="nil"/>
            </w:tcMar>
          </w:tcPr>
          <w:p w14:paraId="328003E7" w14:textId="77777777" w:rsidR="004E67DC" w:rsidRDefault="004E67DC" w:rsidP="004E67DC">
            <w:r>
              <w:t>This task will be used to create a scoped sync agreement in the Priasoft Collaboration Suite for each of the object types mentioned in the previous step, where appropriate.</w:t>
            </w:r>
          </w:p>
        </w:tc>
      </w:tr>
      <w:tr w:rsidR="004E67DC" w14:paraId="443D46D1" w14:textId="77777777" w:rsidTr="004E67DC">
        <w:tc>
          <w:tcPr>
            <w:tcW w:w="653" w:type="dxa"/>
            <w:tcMar>
              <w:top w:w="0" w:type="nil"/>
              <w:left w:w="0" w:type="nil"/>
              <w:bottom w:w="0" w:type="nil"/>
              <w:right w:w="0" w:type="nil"/>
            </w:tcMar>
          </w:tcPr>
          <w:p w14:paraId="6AE88FDF" w14:textId="77777777" w:rsidR="004E67DC" w:rsidRDefault="006001D2" w:rsidP="004E67DC">
            <w:r>
              <w:lastRenderedPageBreak/>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76E45FB6" w14:textId="77777777" w:rsidR="004E67DC" w:rsidRDefault="004E67DC" w:rsidP="004E67DC">
            <w:r>
              <w:t>“What If” Execution</w:t>
            </w:r>
          </w:p>
        </w:tc>
        <w:tc>
          <w:tcPr>
            <w:tcW w:w="7735" w:type="dxa"/>
            <w:tcMar>
              <w:top w:w="0" w:type="nil"/>
              <w:left w:w="0" w:type="nil"/>
              <w:bottom w:w="0" w:type="nil"/>
              <w:right w:w="0" w:type="nil"/>
            </w:tcMar>
          </w:tcPr>
          <w:p w14:paraId="3238B324" w14:textId="77777777" w:rsidR="004E67DC" w:rsidRDefault="004E67DC" w:rsidP="004E67DC">
            <w:r>
              <w:t>The agreements will be first run in “what if” mode to explain how to work with the reports and to identify conflicts.</w:t>
            </w:r>
          </w:p>
        </w:tc>
      </w:tr>
      <w:tr w:rsidR="004E67DC" w14:paraId="07E8E8DB" w14:textId="77777777" w:rsidTr="004E67DC">
        <w:tc>
          <w:tcPr>
            <w:tcW w:w="653" w:type="dxa"/>
            <w:tcMar>
              <w:top w:w="0" w:type="nil"/>
              <w:left w:w="0" w:type="nil"/>
              <w:bottom w:w="0" w:type="nil"/>
              <w:right w:w="0" w:type="nil"/>
            </w:tcMar>
          </w:tcPr>
          <w:p w14:paraId="7DD2987D" w14:textId="77777777" w:rsidR="004E67DC" w:rsidRDefault="006001D2"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1330E814" w14:textId="77777777" w:rsidR="004E67DC" w:rsidRDefault="004E67DC" w:rsidP="004E67DC">
            <w:r>
              <w:t>Normal Execution</w:t>
            </w:r>
          </w:p>
        </w:tc>
        <w:tc>
          <w:tcPr>
            <w:tcW w:w="7735" w:type="dxa"/>
            <w:tcMar>
              <w:top w:w="0" w:type="nil"/>
              <w:left w:w="0" w:type="nil"/>
              <w:bottom w:w="0" w:type="nil"/>
              <w:right w:w="0" w:type="nil"/>
            </w:tcMar>
          </w:tcPr>
          <w:p w14:paraId="5643F3B2" w14:textId="77777777" w:rsidR="004E67DC" w:rsidRDefault="004E67DC" w:rsidP="004E67DC">
            <w:r>
              <w:t>The agreements will be run in normal execution mode to cause the creation of the objects in the target directory</w:t>
            </w:r>
          </w:p>
        </w:tc>
      </w:tr>
      <w:tr w:rsidR="004E67DC" w14:paraId="3C060DC6" w14:textId="77777777" w:rsidTr="004E67DC">
        <w:tc>
          <w:tcPr>
            <w:tcW w:w="653" w:type="dxa"/>
            <w:tcMar>
              <w:top w:w="0" w:type="nil"/>
              <w:left w:w="0" w:type="nil"/>
              <w:bottom w:w="0" w:type="nil"/>
              <w:right w:w="0" w:type="nil"/>
            </w:tcMar>
          </w:tcPr>
          <w:p w14:paraId="0D39D056" w14:textId="77777777" w:rsidR="004E67DC" w:rsidRDefault="006001D2"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7DFA1E3F" w14:textId="77777777" w:rsidR="004E67DC" w:rsidRDefault="004E67DC" w:rsidP="004E67DC">
            <w:r>
              <w:t>Merge Execution</w:t>
            </w:r>
          </w:p>
        </w:tc>
        <w:tc>
          <w:tcPr>
            <w:tcW w:w="7735" w:type="dxa"/>
            <w:tcMar>
              <w:top w:w="0" w:type="nil"/>
              <w:left w:w="0" w:type="nil"/>
              <w:bottom w:w="0" w:type="nil"/>
              <w:right w:w="0" w:type="nil"/>
            </w:tcMar>
          </w:tcPr>
          <w:p w14:paraId="7F676120" w14:textId="77777777" w:rsidR="004E67DC" w:rsidRDefault="004E67DC" w:rsidP="004E67DC">
            <w:r>
              <w:t>A scenario will be created to generate a sync conflict in order to show the use and effect of the PCS “merge” mode.</w:t>
            </w:r>
          </w:p>
        </w:tc>
      </w:tr>
    </w:tbl>
    <w:p w14:paraId="4F4B363A" w14:textId="77777777" w:rsidR="004E67DC" w:rsidRDefault="004E67DC"/>
    <w:p w14:paraId="136C2BFC" w14:textId="77777777" w:rsidR="004E67DC" w:rsidRDefault="004E67DC">
      <w:pPr>
        <w:spacing w:before="0" w:after="0"/>
      </w:pPr>
      <w:r>
        <w:br w:type="page"/>
      </w:r>
    </w:p>
    <w:p w14:paraId="37E01F04" w14:textId="77777777" w:rsidR="004E67DC" w:rsidRDefault="004E67DC" w:rsidP="004E67DC">
      <w:pPr>
        <w:pStyle w:val="Heading2"/>
      </w:pPr>
      <w:r>
        <w:lastRenderedPageBreak/>
        <w:t>Outlook profile updates, deployment, and configuration</w:t>
      </w:r>
    </w:p>
    <w:p w14:paraId="2C12A655" w14:textId="77777777" w:rsidR="004E67DC" w:rsidRPr="004E67DC" w:rsidRDefault="004E67DC" w:rsidP="004E67DC">
      <w:r>
        <w:t xml:space="preserve">This step in the process will be used to discuss and setup for the use of the Priasoft ProfileManager application, which is used to updated </w:t>
      </w:r>
      <w:r>
        <w:rPr>
          <w:b/>
          <w:i/>
        </w:rPr>
        <w:t xml:space="preserve">existing </w:t>
      </w:r>
      <w:r>
        <w:t>Outlook profiles following a migration.</w:t>
      </w:r>
    </w:p>
    <w:p w14:paraId="6283E876" w14:textId="77777777" w:rsidR="004E67DC" w:rsidRDefault="004E67DC" w:rsidP="004E67DC"/>
    <w:p w14:paraId="7979F20C" w14:textId="77777777" w:rsidR="004E67DC" w:rsidRDefault="004E67DC" w:rsidP="004E67DC">
      <w:r>
        <w:t>The ProfileManager application has the following rules and caveats:</w:t>
      </w:r>
    </w:p>
    <w:p w14:paraId="5647A7E0" w14:textId="77777777" w:rsidR="004E67DC" w:rsidRPr="00366D88" w:rsidRDefault="004E67DC" w:rsidP="004E67DC">
      <w:pPr>
        <w:pStyle w:val="ListParagraph"/>
        <w:numPr>
          <w:ilvl w:val="0"/>
          <w:numId w:val="36"/>
        </w:numPr>
        <w:autoSpaceDE w:val="0"/>
        <w:autoSpaceDN w:val="0"/>
        <w:adjustRightInd w:val="0"/>
        <w:spacing w:before="0" w:after="0"/>
        <w:rPr>
          <w:rFonts w:ascii="MS Shell Dlg 2" w:hAnsi="MS Shell Dlg 2" w:cs="MS Shell Dlg 2"/>
          <w:sz w:val="16"/>
          <w:szCs w:val="16"/>
        </w:rPr>
      </w:pPr>
      <w:r>
        <w:t>Must run on user’s desktops, without elevation</w:t>
      </w:r>
    </w:p>
    <w:p w14:paraId="16001D69" w14:textId="77777777" w:rsidR="004E67DC" w:rsidRPr="004E67DC" w:rsidRDefault="004E67DC" w:rsidP="004E67DC">
      <w:pPr>
        <w:pStyle w:val="ListParagraph"/>
        <w:numPr>
          <w:ilvl w:val="1"/>
          <w:numId w:val="36"/>
        </w:numPr>
        <w:autoSpaceDE w:val="0"/>
        <w:autoSpaceDN w:val="0"/>
        <w:adjustRightInd w:val="0"/>
        <w:spacing w:before="0" w:after="0"/>
        <w:rPr>
          <w:rFonts w:ascii="MS Shell Dlg 2" w:hAnsi="MS Shell Dlg 2" w:cs="MS Shell Dlg 2"/>
          <w:sz w:val="16"/>
          <w:szCs w:val="16"/>
        </w:rPr>
      </w:pPr>
      <w:r>
        <w:t>This is an on-premises migration, across a domain/forest boundary between 2 distinct Exchange deployments.</w:t>
      </w:r>
    </w:p>
    <w:p w14:paraId="1D75013D" w14:textId="77777777" w:rsidR="004E67DC" w:rsidRPr="009D697A" w:rsidRDefault="004E67DC" w:rsidP="004E67DC">
      <w:pPr>
        <w:pStyle w:val="ListParagraph"/>
        <w:numPr>
          <w:ilvl w:val="0"/>
          <w:numId w:val="36"/>
        </w:numPr>
        <w:autoSpaceDE w:val="0"/>
        <w:autoSpaceDN w:val="0"/>
        <w:adjustRightInd w:val="0"/>
        <w:spacing w:before="0" w:after="0"/>
        <w:rPr>
          <w:rFonts w:ascii="MS Shell Dlg 2" w:hAnsi="MS Shell Dlg 2" w:cs="MS Shell Dlg 2"/>
          <w:sz w:val="16"/>
          <w:szCs w:val="16"/>
        </w:rPr>
      </w:pPr>
      <w:r>
        <w:t>Must run as the user, in the user’s context.</w:t>
      </w:r>
    </w:p>
    <w:p w14:paraId="2CBD4E90" w14:textId="77777777" w:rsidR="009D697A" w:rsidRPr="004E67DC" w:rsidRDefault="009D697A" w:rsidP="009D697A">
      <w:pPr>
        <w:pStyle w:val="ListParagraph"/>
        <w:numPr>
          <w:ilvl w:val="1"/>
          <w:numId w:val="36"/>
        </w:numPr>
        <w:autoSpaceDE w:val="0"/>
        <w:autoSpaceDN w:val="0"/>
        <w:adjustRightInd w:val="0"/>
        <w:spacing w:before="0" w:after="0"/>
        <w:rPr>
          <w:rFonts w:ascii="MS Shell Dlg 2" w:hAnsi="MS Shell Dlg 2" w:cs="MS Shell Dlg 2"/>
          <w:sz w:val="16"/>
          <w:szCs w:val="16"/>
        </w:rPr>
      </w:pPr>
      <w:r>
        <w:t>Outlook profile data is stored in HKEY_CURRENT_USER in the Windows Registry.</w:t>
      </w:r>
    </w:p>
    <w:p w14:paraId="757BB623" w14:textId="77777777" w:rsidR="004E67DC" w:rsidRPr="009D697A" w:rsidRDefault="004E67DC" w:rsidP="004E67DC">
      <w:pPr>
        <w:pStyle w:val="ListParagraph"/>
        <w:numPr>
          <w:ilvl w:val="0"/>
          <w:numId w:val="36"/>
        </w:numPr>
        <w:autoSpaceDE w:val="0"/>
        <w:autoSpaceDN w:val="0"/>
        <w:adjustRightInd w:val="0"/>
        <w:spacing w:before="0" w:after="0"/>
        <w:rPr>
          <w:rFonts w:ascii="MS Shell Dlg 2" w:hAnsi="MS Shell Dlg 2" w:cs="MS Shell Dlg 2"/>
          <w:sz w:val="16"/>
          <w:szCs w:val="16"/>
        </w:rPr>
      </w:pPr>
      <w:r>
        <w:t>Must run before Outlook is run the next time after a mailbox is migrated.</w:t>
      </w:r>
    </w:p>
    <w:p w14:paraId="26075607" w14:textId="77777777" w:rsidR="009D697A" w:rsidRPr="004E67DC" w:rsidRDefault="009D697A" w:rsidP="009D697A">
      <w:pPr>
        <w:pStyle w:val="ListParagraph"/>
        <w:numPr>
          <w:ilvl w:val="1"/>
          <w:numId w:val="36"/>
        </w:numPr>
        <w:autoSpaceDE w:val="0"/>
        <w:autoSpaceDN w:val="0"/>
        <w:adjustRightInd w:val="0"/>
        <w:spacing w:before="0" w:after="0"/>
        <w:rPr>
          <w:rFonts w:ascii="MS Shell Dlg 2" w:hAnsi="MS Shell Dlg 2" w:cs="MS Shell Dlg 2"/>
          <w:sz w:val="16"/>
          <w:szCs w:val="16"/>
        </w:rPr>
      </w:pPr>
      <w:r>
        <w:t>Outlook must not be running at the time of the migration cutover of a mailbox.</w:t>
      </w:r>
    </w:p>
    <w:p w14:paraId="027C0105" w14:textId="77777777" w:rsidR="004E67DC" w:rsidRPr="004E67DC" w:rsidRDefault="004E67DC" w:rsidP="004E67DC">
      <w:pPr>
        <w:pStyle w:val="ListParagraph"/>
        <w:numPr>
          <w:ilvl w:val="0"/>
          <w:numId w:val="36"/>
        </w:numPr>
        <w:autoSpaceDE w:val="0"/>
        <w:autoSpaceDN w:val="0"/>
        <w:adjustRightInd w:val="0"/>
        <w:spacing w:before="0" w:after="0"/>
        <w:rPr>
          <w:rFonts w:ascii="MS Shell Dlg 2" w:hAnsi="MS Shell Dlg 2" w:cs="MS Shell Dlg 2"/>
          <w:sz w:val="16"/>
          <w:szCs w:val="16"/>
        </w:rPr>
      </w:pPr>
      <w:r>
        <w:t>The application is self-contained and does not need to be installed or copied locally</w:t>
      </w:r>
    </w:p>
    <w:p w14:paraId="6A3FD250" w14:textId="77777777" w:rsidR="004E67DC" w:rsidRPr="004E67DC" w:rsidRDefault="004E67DC" w:rsidP="004E67DC">
      <w:pPr>
        <w:pStyle w:val="ListParagraph"/>
        <w:numPr>
          <w:ilvl w:val="0"/>
          <w:numId w:val="36"/>
        </w:numPr>
        <w:autoSpaceDE w:val="0"/>
        <w:autoSpaceDN w:val="0"/>
        <w:adjustRightInd w:val="0"/>
        <w:spacing w:before="0" w:after="0"/>
        <w:rPr>
          <w:rFonts w:ascii="MS Shell Dlg 2" w:hAnsi="MS Shell Dlg 2" w:cs="MS Shell Dlg 2"/>
          <w:sz w:val="16"/>
          <w:szCs w:val="16"/>
        </w:rPr>
      </w:pPr>
      <w:r>
        <w:t>Users must have read access to the application and the data files it uses.</w:t>
      </w:r>
    </w:p>
    <w:p w14:paraId="2D743B6E" w14:textId="77777777" w:rsidR="004E67DC" w:rsidRPr="004E67DC" w:rsidRDefault="004E67DC" w:rsidP="004E67DC">
      <w:pPr>
        <w:pStyle w:val="ListParagraph"/>
        <w:numPr>
          <w:ilvl w:val="0"/>
          <w:numId w:val="36"/>
        </w:numPr>
        <w:autoSpaceDE w:val="0"/>
        <w:autoSpaceDN w:val="0"/>
        <w:adjustRightInd w:val="0"/>
        <w:spacing w:before="0" w:after="0"/>
        <w:rPr>
          <w:rFonts w:ascii="MS Shell Dlg 2" w:hAnsi="MS Shell Dlg 2" w:cs="MS Shell Dlg 2"/>
          <w:sz w:val="16"/>
          <w:szCs w:val="16"/>
        </w:rPr>
      </w:pPr>
      <w:r>
        <w:t>Users must have read/write/create access to the logs folder set in the configuration file.</w:t>
      </w:r>
    </w:p>
    <w:p w14:paraId="5F18B8CF" w14:textId="77777777" w:rsidR="004E67DC" w:rsidRPr="004E67DC" w:rsidRDefault="004E67DC" w:rsidP="004E67DC">
      <w:pPr>
        <w:pStyle w:val="ListParagraph"/>
        <w:numPr>
          <w:ilvl w:val="0"/>
          <w:numId w:val="36"/>
        </w:numPr>
        <w:autoSpaceDE w:val="0"/>
        <w:autoSpaceDN w:val="0"/>
        <w:adjustRightInd w:val="0"/>
        <w:spacing w:before="0" w:after="0"/>
        <w:rPr>
          <w:rFonts w:ascii="MS Shell Dlg 2" w:hAnsi="MS Shell Dlg 2" w:cs="MS Shell Dlg 2"/>
          <w:sz w:val="16"/>
          <w:szCs w:val="16"/>
        </w:rPr>
      </w:pPr>
      <w:r>
        <w:t>User desktops must have one of the following versions of Microsoft .NET Framework</w:t>
      </w:r>
    </w:p>
    <w:p w14:paraId="5276D2D6" w14:textId="77777777" w:rsidR="004E67DC" w:rsidRPr="004E67DC" w:rsidRDefault="004E67DC" w:rsidP="004E67DC">
      <w:pPr>
        <w:pStyle w:val="ListParagraph"/>
        <w:numPr>
          <w:ilvl w:val="1"/>
          <w:numId w:val="36"/>
        </w:numPr>
        <w:autoSpaceDE w:val="0"/>
        <w:autoSpaceDN w:val="0"/>
        <w:adjustRightInd w:val="0"/>
        <w:spacing w:before="0" w:after="0"/>
        <w:rPr>
          <w:rFonts w:ascii="MS Shell Dlg 2" w:hAnsi="MS Shell Dlg 2" w:cs="MS Shell Dlg 2"/>
          <w:sz w:val="16"/>
          <w:szCs w:val="16"/>
        </w:rPr>
      </w:pPr>
      <w:r>
        <w:t>.NET 2.0</w:t>
      </w:r>
    </w:p>
    <w:p w14:paraId="33833C53" w14:textId="77777777" w:rsidR="004E67DC" w:rsidRPr="004E67DC" w:rsidRDefault="004E67DC" w:rsidP="004E67DC">
      <w:pPr>
        <w:pStyle w:val="ListParagraph"/>
        <w:numPr>
          <w:ilvl w:val="1"/>
          <w:numId w:val="36"/>
        </w:numPr>
        <w:autoSpaceDE w:val="0"/>
        <w:autoSpaceDN w:val="0"/>
        <w:adjustRightInd w:val="0"/>
        <w:spacing w:before="0" w:after="0"/>
        <w:rPr>
          <w:rFonts w:ascii="MS Shell Dlg 2" w:hAnsi="MS Shell Dlg 2" w:cs="MS Shell Dlg 2"/>
          <w:sz w:val="16"/>
          <w:szCs w:val="16"/>
        </w:rPr>
      </w:pPr>
      <w:r>
        <w:t>.NET 3.0</w:t>
      </w:r>
    </w:p>
    <w:p w14:paraId="4CAE1B29" w14:textId="77777777" w:rsidR="004E67DC" w:rsidRPr="004E67DC" w:rsidRDefault="004E67DC" w:rsidP="004E67DC">
      <w:pPr>
        <w:pStyle w:val="ListParagraph"/>
        <w:numPr>
          <w:ilvl w:val="1"/>
          <w:numId w:val="36"/>
        </w:numPr>
        <w:autoSpaceDE w:val="0"/>
        <w:autoSpaceDN w:val="0"/>
        <w:adjustRightInd w:val="0"/>
        <w:spacing w:before="0" w:after="0"/>
        <w:rPr>
          <w:rFonts w:ascii="MS Shell Dlg 2" w:hAnsi="MS Shell Dlg 2" w:cs="MS Shell Dlg 2"/>
          <w:sz w:val="16"/>
          <w:szCs w:val="16"/>
        </w:rPr>
      </w:pPr>
      <w:r>
        <w:t>.NET 3.5, 3.5.1</w:t>
      </w:r>
    </w:p>
    <w:p w14:paraId="4E54DA05" w14:textId="77777777" w:rsidR="004E67DC" w:rsidRPr="004E67DC" w:rsidRDefault="004E67DC" w:rsidP="004E67DC">
      <w:pPr>
        <w:pStyle w:val="ListParagraph"/>
        <w:numPr>
          <w:ilvl w:val="1"/>
          <w:numId w:val="36"/>
        </w:numPr>
        <w:autoSpaceDE w:val="0"/>
        <w:autoSpaceDN w:val="0"/>
        <w:adjustRightInd w:val="0"/>
        <w:spacing w:before="0" w:after="0"/>
        <w:rPr>
          <w:rFonts w:ascii="MS Shell Dlg 2" w:hAnsi="MS Shell Dlg 2" w:cs="MS Shell Dlg 2"/>
          <w:sz w:val="16"/>
          <w:szCs w:val="16"/>
        </w:rPr>
      </w:pPr>
      <w:r>
        <w:t>.NET 4.0</w:t>
      </w:r>
    </w:p>
    <w:p w14:paraId="283CE1C3" w14:textId="77777777" w:rsidR="004E67DC" w:rsidRPr="004E67DC" w:rsidRDefault="004E67DC" w:rsidP="004E67DC">
      <w:pPr>
        <w:pStyle w:val="ListParagraph"/>
        <w:numPr>
          <w:ilvl w:val="1"/>
          <w:numId w:val="36"/>
        </w:numPr>
        <w:autoSpaceDE w:val="0"/>
        <w:autoSpaceDN w:val="0"/>
        <w:adjustRightInd w:val="0"/>
        <w:spacing w:before="0" w:after="0"/>
        <w:rPr>
          <w:rFonts w:ascii="MS Shell Dlg 2" w:hAnsi="MS Shell Dlg 2" w:cs="MS Shell Dlg 2"/>
          <w:sz w:val="16"/>
          <w:szCs w:val="16"/>
        </w:rPr>
      </w:pPr>
      <w:r>
        <w:t>.NET 4.5 or later</w:t>
      </w:r>
    </w:p>
    <w:p w14:paraId="42ADB78D" w14:textId="77777777" w:rsidR="004E67DC" w:rsidRPr="004E67DC" w:rsidRDefault="004E67DC" w:rsidP="004E67DC">
      <w:pPr>
        <w:pStyle w:val="ListParagraph"/>
        <w:numPr>
          <w:ilvl w:val="1"/>
          <w:numId w:val="36"/>
        </w:numPr>
        <w:autoSpaceDE w:val="0"/>
        <w:autoSpaceDN w:val="0"/>
        <w:adjustRightInd w:val="0"/>
        <w:spacing w:before="0" w:after="0"/>
        <w:rPr>
          <w:rFonts w:ascii="MS Shell Dlg 2" w:hAnsi="MS Shell Dlg 2" w:cs="MS Shell Dlg 2"/>
          <w:sz w:val="16"/>
          <w:szCs w:val="16"/>
        </w:rPr>
      </w:pPr>
      <w:r>
        <w:t>Any one or more of the above list is required</w:t>
      </w:r>
    </w:p>
    <w:p w14:paraId="1D678187" w14:textId="77777777" w:rsidR="004E67DC" w:rsidRPr="004E67DC" w:rsidRDefault="004E67DC" w:rsidP="004E67DC">
      <w:pPr>
        <w:pStyle w:val="ListParagraph"/>
        <w:numPr>
          <w:ilvl w:val="0"/>
          <w:numId w:val="36"/>
        </w:numPr>
        <w:autoSpaceDE w:val="0"/>
        <w:autoSpaceDN w:val="0"/>
        <w:adjustRightInd w:val="0"/>
        <w:spacing w:before="0" w:after="0"/>
        <w:rPr>
          <w:rFonts w:ascii="MS Shell Dlg 2" w:hAnsi="MS Shell Dlg 2" w:cs="MS Shell Dlg 2"/>
          <w:sz w:val="16"/>
          <w:szCs w:val="16"/>
        </w:rPr>
      </w:pPr>
      <w:r>
        <w:t>The application is only intended for use on Windows desktops with Microsoft Outlook.</w:t>
      </w:r>
    </w:p>
    <w:p w14:paraId="26E0E1B3" w14:textId="77777777" w:rsidR="004E67DC" w:rsidRPr="004E67DC" w:rsidRDefault="004E67DC" w:rsidP="004E67DC">
      <w:pPr>
        <w:pStyle w:val="ListParagraph"/>
        <w:numPr>
          <w:ilvl w:val="1"/>
          <w:numId w:val="36"/>
        </w:numPr>
        <w:autoSpaceDE w:val="0"/>
        <w:autoSpaceDN w:val="0"/>
        <w:adjustRightInd w:val="0"/>
        <w:spacing w:before="0" w:after="0"/>
        <w:rPr>
          <w:rFonts w:ascii="MS Shell Dlg 2" w:hAnsi="MS Shell Dlg 2" w:cs="MS Shell Dlg 2"/>
          <w:sz w:val="16"/>
          <w:szCs w:val="16"/>
        </w:rPr>
      </w:pPr>
      <w:r>
        <w:t>Other mail clients are not supported by this application</w:t>
      </w:r>
    </w:p>
    <w:p w14:paraId="1C3F58B6" w14:textId="77777777" w:rsidR="004E67DC" w:rsidRPr="004E67DC" w:rsidRDefault="004E67DC" w:rsidP="004E67DC">
      <w:pPr>
        <w:pStyle w:val="ListParagraph"/>
        <w:numPr>
          <w:ilvl w:val="1"/>
          <w:numId w:val="36"/>
        </w:numPr>
        <w:autoSpaceDE w:val="0"/>
        <w:autoSpaceDN w:val="0"/>
        <w:adjustRightInd w:val="0"/>
        <w:spacing w:before="0" w:after="0"/>
        <w:rPr>
          <w:rFonts w:ascii="MS Shell Dlg 2" w:hAnsi="MS Shell Dlg 2" w:cs="MS Shell Dlg 2"/>
          <w:sz w:val="16"/>
          <w:szCs w:val="16"/>
        </w:rPr>
      </w:pPr>
      <w:r>
        <w:t>Outlook for Mac is not supported by this application</w:t>
      </w:r>
    </w:p>
    <w:p w14:paraId="453AF8F0" w14:textId="77777777" w:rsidR="004E67DC" w:rsidRPr="004E67DC" w:rsidRDefault="004E67DC" w:rsidP="004E67DC">
      <w:pPr>
        <w:autoSpaceDE w:val="0"/>
        <w:autoSpaceDN w:val="0"/>
        <w:adjustRightInd w:val="0"/>
        <w:spacing w:before="0" w:after="0"/>
        <w:rPr>
          <w:rFonts w:ascii="MS Shell Dlg 2" w:hAnsi="MS Shell Dlg 2" w:cs="MS Shell Dlg 2"/>
          <w:sz w:val="16"/>
          <w:szCs w:val="16"/>
        </w:rPr>
      </w:pPr>
    </w:p>
    <w:p w14:paraId="026CD939" w14:textId="77777777" w:rsidR="004E67DC" w:rsidRPr="004E67DC" w:rsidRDefault="004E67DC" w:rsidP="004E67DC">
      <w:pPr>
        <w:autoSpaceDE w:val="0"/>
        <w:autoSpaceDN w:val="0"/>
        <w:adjustRightInd w:val="0"/>
        <w:spacing w:before="0" w:after="0"/>
        <w:rPr>
          <w:rFonts w:ascii="MS Shell Dlg 2" w:hAnsi="MS Shell Dlg 2" w:cs="MS Shell Dlg 2"/>
          <w:color w:val="C00000"/>
          <w:sz w:val="16"/>
          <w:szCs w:val="16"/>
        </w:rPr>
      </w:pPr>
      <w:r>
        <w:rPr>
          <w:rFonts w:ascii="MS Shell Dlg 2" w:hAnsi="MS Shell Dlg 2" w:cs="MS Shell Dlg 2"/>
          <w:color w:val="C00000"/>
          <w:sz w:val="16"/>
          <w:szCs w:val="16"/>
        </w:rPr>
        <w:t xml:space="preserve">NOTE: </w:t>
      </w:r>
      <w:r w:rsidRPr="004E67DC">
        <w:rPr>
          <w:rFonts w:ascii="MS Shell Dlg 2" w:hAnsi="MS Shell Dlg 2" w:cs="MS Shell Dlg 2"/>
          <w:color w:val="C00000"/>
          <w:sz w:val="16"/>
          <w:szCs w:val="16"/>
        </w:rPr>
        <w:t>For same-forest</w:t>
      </w:r>
      <w:r>
        <w:rPr>
          <w:rFonts w:ascii="MS Shell Dlg 2" w:hAnsi="MS Shell Dlg 2" w:cs="MS Shell Dlg 2"/>
          <w:color w:val="C00000"/>
          <w:sz w:val="16"/>
          <w:szCs w:val="16"/>
        </w:rPr>
        <w:t xml:space="preserve"> migrations, the use of this application is required and enforced by the migration wizard</w:t>
      </w:r>
      <w:r w:rsidRPr="004E67DC">
        <w:rPr>
          <w:rFonts w:ascii="MS Shell Dlg 2" w:hAnsi="MS Shell Dlg 2" w:cs="MS Shell Dlg 2"/>
          <w:color w:val="C00000"/>
          <w:sz w:val="16"/>
          <w:szCs w:val="16"/>
        </w:rPr>
        <w:t>.</w:t>
      </w:r>
    </w:p>
    <w:p w14:paraId="24D5FE81" w14:textId="77777777" w:rsidR="004E67DC" w:rsidRDefault="004E67DC" w:rsidP="004E67DC">
      <w:pPr>
        <w:autoSpaceDE w:val="0"/>
        <w:autoSpaceDN w:val="0"/>
        <w:adjustRightInd w:val="0"/>
        <w:spacing w:before="0" w:after="0"/>
        <w:rPr>
          <w:rFonts w:ascii="MS Shell Dlg 2" w:hAnsi="MS Shell Dlg 2" w:cs="MS Shell Dlg 2"/>
          <w:sz w:val="16"/>
          <w:szCs w:val="16"/>
        </w:rPr>
      </w:pPr>
    </w:p>
    <w:p w14:paraId="40916771" w14:textId="77777777" w:rsidR="004E67DC" w:rsidRPr="00366D88" w:rsidRDefault="004E67DC" w:rsidP="004E67DC">
      <w:pPr>
        <w:autoSpaceDE w:val="0"/>
        <w:autoSpaceDN w:val="0"/>
        <w:adjustRightInd w:val="0"/>
        <w:spacing w:before="0" w:after="0"/>
        <w:rPr>
          <w:rFonts w:ascii="MS Shell Dlg 2" w:hAnsi="MS Shell Dlg 2" w:cs="MS Shell Dlg 2"/>
          <w:sz w:val="16"/>
          <w:szCs w:val="16"/>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53"/>
        <w:gridCol w:w="2402"/>
        <w:gridCol w:w="7735"/>
      </w:tblGrid>
      <w:tr w:rsidR="004E67DC" w14:paraId="464153DA" w14:textId="77777777" w:rsidTr="004E67DC">
        <w:tc>
          <w:tcPr>
            <w:tcW w:w="10790" w:type="dxa"/>
            <w:gridSpan w:val="3"/>
            <w:shd w:val="clear" w:color="auto" w:fill="DBE5F1" w:themeFill="accent1" w:themeFillTint="33"/>
            <w:tcMar>
              <w:top w:w="0" w:type="nil"/>
              <w:left w:w="0" w:type="nil"/>
              <w:bottom w:w="0" w:type="nil"/>
              <w:right w:w="0" w:type="nil"/>
            </w:tcMar>
          </w:tcPr>
          <w:p w14:paraId="253A3CF5" w14:textId="77777777" w:rsidR="004E67DC" w:rsidRDefault="004E67DC" w:rsidP="004E67DC">
            <w:pPr>
              <w:pStyle w:val="Heading2"/>
              <w:tabs>
                <w:tab w:val="left" w:pos="3457"/>
              </w:tabs>
            </w:pPr>
            <w:r>
              <w:t xml:space="preserve">Outlook Profile Manager CHECKLIST </w:t>
            </w:r>
            <w:r w:rsidRPr="00A974CD">
              <w:rPr>
                <w:sz w:val="24"/>
              </w:rPr>
              <w:tab/>
            </w:r>
            <w:r w:rsidRPr="00A974CD">
              <w:rPr>
                <w:sz w:val="24"/>
              </w:rPr>
              <w:br/>
            </w:r>
            <w:r>
              <w:rPr>
                <w:b w:val="0"/>
                <w:sz w:val="16"/>
              </w:rPr>
              <w:t>Elements below are presented in the recommended order of operation.</w:t>
            </w:r>
          </w:p>
        </w:tc>
      </w:tr>
      <w:tr w:rsidR="004E67DC" w14:paraId="1DA0242C" w14:textId="77777777" w:rsidTr="004E67DC">
        <w:tc>
          <w:tcPr>
            <w:tcW w:w="653" w:type="dxa"/>
            <w:tcMar>
              <w:top w:w="0" w:type="nil"/>
              <w:left w:w="0" w:type="nil"/>
              <w:bottom w:w="0" w:type="nil"/>
              <w:right w:w="0" w:type="nil"/>
            </w:tcMar>
          </w:tcPr>
          <w:p w14:paraId="533AABA9" w14:textId="77777777" w:rsidR="004E67DC" w:rsidRDefault="004E67DC"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0CD84797" w14:textId="77777777" w:rsidR="004E67DC" w:rsidRDefault="004E67DC" w:rsidP="004E67DC">
            <w:r>
              <w:t>Analysis and Discussion of Current mail client types</w:t>
            </w:r>
          </w:p>
        </w:tc>
        <w:tc>
          <w:tcPr>
            <w:tcW w:w="7735" w:type="dxa"/>
            <w:tcMar>
              <w:top w:w="0" w:type="nil"/>
              <w:left w:w="0" w:type="nil"/>
              <w:bottom w:w="0" w:type="nil"/>
              <w:right w:w="0" w:type="nil"/>
            </w:tcMar>
          </w:tcPr>
          <w:p w14:paraId="603F337C" w14:textId="77777777" w:rsidR="004E67DC" w:rsidRDefault="004E67DC" w:rsidP="004E67DC">
            <w:r>
              <w:t xml:space="preserve">Priasoft support will discuss </w:t>
            </w:r>
            <w:r w:rsidR="009D697A">
              <w:t>and review current mail client types and how they connect.</w:t>
            </w:r>
          </w:p>
          <w:p w14:paraId="73A70EC2" w14:textId="77777777" w:rsidR="009D697A" w:rsidRDefault="009D697A" w:rsidP="004E67DC">
            <w:r>
              <w:t>Specific points to be covered are:</w:t>
            </w:r>
          </w:p>
          <w:p w14:paraId="6AEE2C33" w14:textId="77777777" w:rsidR="009D697A" w:rsidRDefault="009D697A" w:rsidP="009D697A">
            <w:pPr>
              <w:pStyle w:val="ListParagraph"/>
              <w:numPr>
                <w:ilvl w:val="0"/>
                <w:numId w:val="36"/>
              </w:numPr>
            </w:pPr>
            <w:r>
              <w:t>Outlook versions in use and support for target Exchange version or Office 365</w:t>
            </w:r>
          </w:p>
          <w:p w14:paraId="4E2286F4" w14:textId="77777777" w:rsidR="009D697A" w:rsidRDefault="009D697A" w:rsidP="009D697A">
            <w:pPr>
              <w:pStyle w:val="ListParagraph"/>
              <w:numPr>
                <w:ilvl w:val="0"/>
                <w:numId w:val="36"/>
              </w:numPr>
            </w:pPr>
            <w:r>
              <w:t>Differences between Domain Joined computers and users versus disconnected users</w:t>
            </w:r>
          </w:p>
        </w:tc>
      </w:tr>
      <w:tr w:rsidR="004E67DC" w14:paraId="680D4A71" w14:textId="77777777" w:rsidTr="004E67DC">
        <w:tc>
          <w:tcPr>
            <w:tcW w:w="653" w:type="dxa"/>
            <w:tcMar>
              <w:top w:w="0" w:type="nil"/>
              <w:left w:w="0" w:type="nil"/>
              <w:bottom w:w="0" w:type="nil"/>
              <w:right w:w="0" w:type="nil"/>
            </w:tcMar>
          </w:tcPr>
          <w:p w14:paraId="2398642F" w14:textId="77777777" w:rsidR="004E67DC" w:rsidRDefault="006001D2"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28481B65" w14:textId="77777777" w:rsidR="004E67DC" w:rsidRDefault="009D697A" w:rsidP="004E67DC">
            <w:r>
              <w:t>AutoDiscover</w:t>
            </w:r>
          </w:p>
        </w:tc>
        <w:tc>
          <w:tcPr>
            <w:tcW w:w="7735" w:type="dxa"/>
            <w:tcMar>
              <w:top w:w="0" w:type="nil"/>
              <w:left w:w="0" w:type="nil"/>
              <w:bottom w:w="0" w:type="nil"/>
              <w:right w:w="0" w:type="nil"/>
            </w:tcMar>
          </w:tcPr>
          <w:p w14:paraId="714FADA2" w14:textId="77777777" w:rsidR="004E67DC" w:rsidRDefault="009D697A" w:rsidP="009D697A">
            <w:r>
              <w:t>Priasoft support will discuss and review current AutoDiscover use and the impact it has on migrations, covering these specific points:</w:t>
            </w:r>
          </w:p>
          <w:p w14:paraId="18C505AF" w14:textId="77777777" w:rsidR="009D697A" w:rsidRDefault="009D697A" w:rsidP="009D697A">
            <w:pPr>
              <w:pStyle w:val="ListParagraph"/>
              <w:numPr>
                <w:ilvl w:val="0"/>
                <w:numId w:val="36"/>
              </w:numPr>
            </w:pPr>
            <w:r>
              <w:t>AutoDiscover URL selection</w:t>
            </w:r>
          </w:p>
          <w:p w14:paraId="5977B85B" w14:textId="77777777" w:rsidR="009D697A" w:rsidRDefault="009D697A" w:rsidP="009D697A">
            <w:pPr>
              <w:pStyle w:val="ListParagraph"/>
              <w:numPr>
                <w:ilvl w:val="0"/>
                <w:numId w:val="36"/>
              </w:numPr>
            </w:pPr>
            <w:r>
              <w:t>Outlook’s specific use pattern for discovering the URL</w:t>
            </w:r>
          </w:p>
          <w:p w14:paraId="60E85439" w14:textId="77777777" w:rsidR="009D697A" w:rsidRDefault="009D697A" w:rsidP="009D697A">
            <w:pPr>
              <w:pStyle w:val="ListParagraph"/>
              <w:numPr>
                <w:ilvl w:val="0"/>
                <w:numId w:val="36"/>
              </w:numPr>
            </w:pPr>
            <w:r>
              <w:t>Handling migration scenarios in which AutoDiscover exists and is available in both the source and target environments, including Office 365.</w:t>
            </w:r>
          </w:p>
          <w:p w14:paraId="4BF3EE64" w14:textId="77777777" w:rsidR="009D697A" w:rsidRDefault="009D697A" w:rsidP="009D697A">
            <w:pPr>
              <w:pStyle w:val="ListParagraph"/>
              <w:numPr>
                <w:ilvl w:val="0"/>
                <w:numId w:val="36"/>
              </w:numPr>
            </w:pPr>
            <w:r>
              <w:t>Outlook 2016 specific support</w:t>
            </w:r>
          </w:p>
        </w:tc>
      </w:tr>
      <w:tr w:rsidR="009D697A" w14:paraId="24A509F8" w14:textId="77777777" w:rsidTr="004E67DC">
        <w:tc>
          <w:tcPr>
            <w:tcW w:w="653" w:type="dxa"/>
            <w:tcMar>
              <w:top w:w="0" w:type="nil"/>
              <w:left w:w="0" w:type="nil"/>
              <w:bottom w:w="0" w:type="nil"/>
              <w:right w:w="0" w:type="nil"/>
            </w:tcMar>
          </w:tcPr>
          <w:p w14:paraId="60EDC244" w14:textId="77777777" w:rsidR="009D697A" w:rsidRDefault="006001D2"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1C429627" w14:textId="77777777" w:rsidR="009D697A" w:rsidRDefault="009D697A" w:rsidP="004E67DC">
            <w:r>
              <w:t>Pre-migration execution</w:t>
            </w:r>
          </w:p>
        </w:tc>
        <w:tc>
          <w:tcPr>
            <w:tcW w:w="7735" w:type="dxa"/>
            <w:tcMar>
              <w:top w:w="0" w:type="nil"/>
              <w:left w:w="0" w:type="nil"/>
              <w:bottom w:w="0" w:type="nil"/>
              <w:right w:w="0" w:type="nil"/>
            </w:tcMar>
          </w:tcPr>
          <w:p w14:paraId="41871BC7" w14:textId="77777777" w:rsidR="009D697A" w:rsidRDefault="009D697A" w:rsidP="009D697A">
            <w:r>
              <w:t>The ProfileManager is expected to run before mailboxes have been migrated.</w:t>
            </w:r>
          </w:p>
          <w:p w14:paraId="77417150" w14:textId="77777777" w:rsidR="009D697A" w:rsidRDefault="009D697A" w:rsidP="009D697A">
            <w:r>
              <w:t>It will produce exception reports for users and desktops that fail to meet necessary requirements.</w:t>
            </w:r>
          </w:p>
        </w:tc>
      </w:tr>
      <w:tr w:rsidR="009D697A" w14:paraId="257BFEF1" w14:textId="77777777" w:rsidTr="004E67DC">
        <w:tc>
          <w:tcPr>
            <w:tcW w:w="653" w:type="dxa"/>
            <w:tcMar>
              <w:top w:w="0" w:type="nil"/>
              <w:left w:w="0" w:type="nil"/>
              <w:bottom w:w="0" w:type="nil"/>
              <w:right w:w="0" w:type="nil"/>
            </w:tcMar>
          </w:tcPr>
          <w:p w14:paraId="6A7C24F7" w14:textId="77777777" w:rsidR="009D697A" w:rsidRDefault="006001D2"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37A30893" w14:textId="77777777" w:rsidR="009D697A" w:rsidRDefault="009D697A" w:rsidP="004E67DC">
            <w:r>
              <w:t>Automation Strategy</w:t>
            </w:r>
          </w:p>
        </w:tc>
        <w:tc>
          <w:tcPr>
            <w:tcW w:w="7735" w:type="dxa"/>
            <w:tcMar>
              <w:top w:w="0" w:type="nil"/>
              <w:left w:w="0" w:type="nil"/>
              <w:bottom w:w="0" w:type="nil"/>
              <w:right w:w="0" w:type="nil"/>
            </w:tcMar>
          </w:tcPr>
          <w:p w14:paraId="048CB803" w14:textId="77777777" w:rsidR="009D697A" w:rsidRDefault="009D697A" w:rsidP="009D697A">
            <w:r>
              <w:t>Priasoft support will discuss and review options for automating the execution of the ProfileManager application.</w:t>
            </w:r>
          </w:p>
        </w:tc>
      </w:tr>
      <w:tr w:rsidR="009D697A" w14:paraId="61A66BC6" w14:textId="77777777" w:rsidTr="004E67DC">
        <w:tc>
          <w:tcPr>
            <w:tcW w:w="653" w:type="dxa"/>
            <w:tcMar>
              <w:top w:w="0" w:type="nil"/>
              <w:left w:w="0" w:type="nil"/>
              <w:bottom w:w="0" w:type="nil"/>
              <w:right w:w="0" w:type="nil"/>
            </w:tcMar>
          </w:tcPr>
          <w:p w14:paraId="20F031B4" w14:textId="77777777" w:rsidR="009D697A" w:rsidRDefault="006001D2"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39AF8B2D" w14:textId="77777777" w:rsidR="009D697A" w:rsidRDefault="009D697A" w:rsidP="004E67DC">
            <w:r>
              <w:t>Outlook Running at Cutover</w:t>
            </w:r>
          </w:p>
        </w:tc>
        <w:tc>
          <w:tcPr>
            <w:tcW w:w="7735" w:type="dxa"/>
            <w:tcMar>
              <w:top w:w="0" w:type="nil"/>
              <w:left w:w="0" w:type="nil"/>
              <w:bottom w:w="0" w:type="nil"/>
              <w:right w:w="0" w:type="nil"/>
            </w:tcMar>
          </w:tcPr>
          <w:p w14:paraId="1E7B0D73" w14:textId="77777777" w:rsidR="009D697A" w:rsidRDefault="009D697A" w:rsidP="009D697A">
            <w:r>
              <w:t>A discussion and introduction of the impact of Outlook running at the time a mailbox migration completes.</w:t>
            </w:r>
          </w:p>
          <w:p w14:paraId="71BFAEEB" w14:textId="77777777" w:rsidR="009D697A" w:rsidRDefault="009D697A" w:rsidP="009D697A">
            <w:r>
              <w:t>Options on how to mitigate issues when Outlook is running.</w:t>
            </w:r>
          </w:p>
        </w:tc>
      </w:tr>
      <w:tr w:rsidR="004E67DC" w14:paraId="06DBEBB6" w14:textId="77777777" w:rsidTr="004E67DC">
        <w:tc>
          <w:tcPr>
            <w:tcW w:w="653" w:type="dxa"/>
            <w:tcMar>
              <w:top w:w="0" w:type="nil"/>
              <w:left w:w="0" w:type="nil"/>
              <w:bottom w:w="0" w:type="nil"/>
              <w:right w:w="0" w:type="nil"/>
            </w:tcMar>
          </w:tcPr>
          <w:p w14:paraId="48817541" w14:textId="77777777" w:rsidR="004E67DC" w:rsidRDefault="006001D2"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297C0ECA" w14:textId="77777777" w:rsidR="004E67DC" w:rsidRDefault="009D697A" w:rsidP="004E67DC">
            <w:r>
              <w:t>Forwarding email address selection</w:t>
            </w:r>
          </w:p>
        </w:tc>
        <w:tc>
          <w:tcPr>
            <w:tcW w:w="7735" w:type="dxa"/>
            <w:tcMar>
              <w:top w:w="0" w:type="nil"/>
              <w:left w:w="0" w:type="nil"/>
              <w:bottom w:w="0" w:type="nil"/>
              <w:right w:w="0" w:type="nil"/>
            </w:tcMar>
          </w:tcPr>
          <w:p w14:paraId="17501C80" w14:textId="77777777" w:rsidR="004E67DC" w:rsidRDefault="009D697A" w:rsidP="009D697A">
            <w:r>
              <w:t>The choice made for the forwarding address used on source users after migration impacts how AutoDiscover is used.</w:t>
            </w:r>
          </w:p>
          <w:p w14:paraId="7762080E" w14:textId="77777777" w:rsidR="009D697A" w:rsidRDefault="009D697A" w:rsidP="009D697A">
            <w:r>
              <w:t>This task will review current mail-flow requirements and/or desires and compare to the impact on AutoDiscover.</w:t>
            </w:r>
          </w:p>
        </w:tc>
      </w:tr>
      <w:tr w:rsidR="004E67DC" w14:paraId="0B10281F" w14:textId="77777777" w:rsidTr="004E67DC">
        <w:tc>
          <w:tcPr>
            <w:tcW w:w="653" w:type="dxa"/>
            <w:tcMar>
              <w:top w:w="0" w:type="nil"/>
              <w:left w:w="0" w:type="nil"/>
              <w:bottom w:w="0" w:type="nil"/>
              <w:right w:w="0" w:type="nil"/>
            </w:tcMar>
          </w:tcPr>
          <w:p w14:paraId="3DEE6AE0" w14:textId="77777777" w:rsidR="004E67DC" w:rsidRDefault="006001D2" w:rsidP="004E67DC">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7E86F155" w14:textId="77777777" w:rsidR="004E67DC" w:rsidRDefault="009D697A" w:rsidP="004E67DC">
            <w:r>
              <w:t>Pre-Migration Test run</w:t>
            </w:r>
          </w:p>
        </w:tc>
        <w:tc>
          <w:tcPr>
            <w:tcW w:w="7735" w:type="dxa"/>
            <w:tcMar>
              <w:top w:w="0" w:type="nil"/>
              <w:left w:w="0" w:type="nil"/>
              <w:bottom w:w="0" w:type="nil"/>
              <w:right w:w="0" w:type="nil"/>
            </w:tcMar>
          </w:tcPr>
          <w:p w14:paraId="19E5418B" w14:textId="77777777" w:rsidR="004E67DC" w:rsidRDefault="009D697A" w:rsidP="009D697A">
            <w:r>
              <w:t>The ProfileManager will be executed, manually, to test the pre-migration validation checks in the application and to explain where the logs are generated and what it provides.</w:t>
            </w:r>
          </w:p>
        </w:tc>
      </w:tr>
    </w:tbl>
    <w:p w14:paraId="05DFF0B3" w14:textId="77777777" w:rsidR="004E67DC" w:rsidRDefault="004E67DC" w:rsidP="004E67DC"/>
    <w:p w14:paraId="7B21C8C8" w14:textId="77777777" w:rsidR="009D697A" w:rsidRDefault="009D697A">
      <w:pPr>
        <w:spacing w:before="0" w:after="0"/>
      </w:pPr>
      <w:r>
        <w:br w:type="page"/>
      </w:r>
    </w:p>
    <w:p w14:paraId="5A20A4FA" w14:textId="77777777" w:rsidR="009D697A" w:rsidRDefault="009D697A" w:rsidP="009D697A">
      <w:pPr>
        <w:pStyle w:val="Heading2"/>
      </w:pPr>
      <w:r>
        <w:lastRenderedPageBreak/>
        <w:t>Public Folder Tasks</w:t>
      </w:r>
    </w:p>
    <w:p w14:paraId="316602A2" w14:textId="77777777" w:rsidR="009D697A" w:rsidRPr="004E67DC" w:rsidRDefault="009D697A" w:rsidP="009D697A">
      <w:r>
        <w:t>This step in the process will be used to discuss and setup for the use of the Priasoft Public Folder Toolbox, which has features to synchronize Public Folders between environments.</w:t>
      </w:r>
    </w:p>
    <w:p w14:paraId="317FC556" w14:textId="77777777" w:rsidR="009D697A" w:rsidRDefault="009D697A" w:rsidP="009D697A"/>
    <w:p w14:paraId="0DC24ED5" w14:textId="77777777" w:rsidR="009D697A" w:rsidRDefault="009D697A" w:rsidP="009D697A">
      <w:r>
        <w:t>The Public Folder Toolbox has the following key features:</w:t>
      </w:r>
    </w:p>
    <w:p w14:paraId="72570C01" w14:textId="77777777" w:rsidR="009D697A" w:rsidRDefault="009D697A" w:rsidP="009D697A">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Synchronization: can sync structure, content, and permissions in both directions.</w:t>
      </w:r>
    </w:p>
    <w:p w14:paraId="10747F46" w14:textId="77777777" w:rsidR="009D697A" w:rsidRDefault="009D697A" w:rsidP="009D697A">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Mail-Enabled Folders Migration: can migrate email addresses from a source to a target</w:t>
      </w:r>
    </w:p>
    <w:p w14:paraId="60434C1C" w14:textId="77777777" w:rsidR="009D697A" w:rsidRDefault="009D697A" w:rsidP="009D697A">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Statistics reporting: can produce a tabular report of selected folders of key metrics</w:t>
      </w:r>
    </w:p>
    <w:p w14:paraId="10CBCA68" w14:textId="77777777" w:rsidR="009D697A" w:rsidRDefault="009D697A" w:rsidP="009D697A">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Restructuring: can move one or more selected folders to a target parent folder, in the same environment.</w:t>
      </w:r>
    </w:p>
    <w:p w14:paraId="7520B166" w14:textId="77777777" w:rsidR="009D697A" w:rsidRDefault="009D697A" w:rsidP="009D697A">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May be necessary to work within new limits in Office 365, Exchange 2013 and Exchange 2016</w:t>
      </w:r>
    </w:p>
    <w:p w14:paraId="02428A0C" w14:textId="77777777" w:rsidR="009D697A" w:rsidRPr="004E67DC" w:rsidRDefault="009D697A" w:rsidP="009D697A">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Public Folder Mailbox Distribution:  used to distribute source folders across one or more Public Folder mailbox objects</w:t>
      </w:r>
    </w:p>
    <w:p w14:paraId="4DB6A8BA" w14:textId="77777777" w:rsidR="009D697A" w:rsidRPr="004E67DC" w:rsidRDefault="009D697A" w:rsidP="009D697A">
      <w:pPr>
        <w:autoSpaceDE w:val="0"/>
        <w:autoSpaceDN w:val="0"/>
        <w:adjustRightInd w:val="0"/>
        <w:spacing w:before="0" w:after="0"/>
        <w:rPr>
          <w:rFonts w:ascii="MS Shell Dlg 2" w:hAnsi="MS Shell Dlg 2" w:cs="MS Shell Dlg 2"/>
          <w:sz w:val="16"/>
          <w:szCs w:val="16"/>
        </w:rPr>
      </w:pPr>
    </w:p>
    <w:p w14:paraId="7373D484" w14:textId="77777777" w:rsidR="003F5A11" w:rsidRPr="004E67DC" w:rsidRDefault="003F5A11" w:rsidP="003F5A11">
      <w:pPr>
        <w:autoSpaceDE w:val="0"/>
        <w:autoSpaceDN w:val="0"/>
        <w:adjustRightInd w:val="0"/>
        <w:spacing w:before="0" w:after="0"/>
        <w:rPr>
          <w:rFonts w:ascii="MS Shell Dlg 2" w:hAnsi="MS Shell Dlg 2" w:cs="MS Shell Dlg 2"/>
          <w:color w:val="C00000"/>
          <w:sz w:val="16"/>
          <w:szCs w:val="16"/>
        </w:rPr>
      </w:pPr>
      <w:r>
        <w:rPr>
          <w:rFonts w:ascii="MS Shell Dlg 2" w:hAnsi="MS Shell Dlg 2" w:cs="MS Shell Dlg 2"/>
          <w:color w:val="C00000"/>
          <w:sz w:val="16"/>
          <w:szCs w:val="16"/>
        </w:rPr>
        <w:t>NOTE: If a source environment does not have Public Folders, or the target will not allow for them, this task can be skipped</w:t>
      </w:r>
      <w:r w:rsidRPr="004E67DC">
        <w:rPr>
          <w:rFonts w:ascii="MS Shell Dlg 2" w:hAnsi="MS Shell Dlg 2" w:cs="MS Shell Dlg 2"/>
          <w:color w:val="C00000"/>
          <w:sz w:val="16"/>
          <w:szCs w:val="16"/>
        </w:rPr>
        <w:t>.</w:t>
      </w:r>
    </w:p>
    <w:p w14:paraId="3DACC0D7" w14:textId="77777777" w:rsidR="003F5A11" w:rsidRPr="004E67DC" w:rsidRDefault="003F5A11" w:rsidP="003F5A11">
      <w:pPr>
        <w:autoSpaceDE w:val="0"/>
        <w:autoSpaceDN w:val="0"/>
        <w:adjustRightInd w:val="0"/>
        <w:spacing w:before="0" w:after="0"/>
        <w:rPr>
          <w:rFonts w:ascii="MS Shell Dlg 2" w:hAnsi="MS Shell Dlg 2" w:cs="MS Shell Dlg 2"/>
          <w:color w:val="C00000"/>
          <w:sz w:val="16"/>
          <w:szCs w:val="16"/>
        </w:rPr>
      </w:pPr>
      <w:r>
        <w:rPr>
          <w:rFonts w:ascii="MS Shell Dlg 2" w:hAnsi="MS Shell Dlg 2" w:cs="MS Shell Dlg 2"/>
          <w:color w:val="C00000"/>
          <w:sz w:val="16"/>
          <w:szCs w:val="16"/>
        </w:rPr>
        <w:t>NOTE: In a same-forest migration scenario, there is no ability for the use of 3</w:t>
      </w:r>
      <w:r w:rsidRPr="003F5A11">
        <w:rPr>
          <w:rFonts w:ascii="MS Shell Dlg 2" w:hAnsi="MS Shell Dlg 2" w:cs="MS Shell Dlg 2"/>
          <w:color w:val="C00000"/>
          <w:sz w:val="16"/>
          <w:szCs w:val="16"/>
          <w:vertAlign w:val="superscript"/>
        </w:rPr>
        <w:t>rd</w:t>
      </w:r>
      <w:r>
        <w:rPr>
          <w:rFonts w:ascii="MS Shell Dlg 2" w:hAnsi="MS Shell Dlg 2" w:cs="MS Shell Dlg 2"/>
          <w:color w:val="C00000"/>
          <w:sz w:val="16"/>
          <w:szCs w:val="16"/>
        </w:rPr>
        <w:t xml:space="preserve"> party migration tools for Public Folders</w:t>
      </w:r>
      <w:r w:rsidRPr="004E67DC">
        <w:rPr>
          <w:rFonts w:ascii="MS Shell Dlg 2" w:hAnsi="MS Shell Dlg 2" w:cs="MS Shell Dlg 2"/>
          <w:color w:val="C00000"/>
          <w:sz w:val="16"/>
          <w:szCs w:val="16"/>
        </w:rPr>
        <w:t>.</w:t>
      </w:r>
    </w:p>
    <w:p w14:paraId="276EDFBC" w14:textId="77777777" w:rsidR="009D697A" w:rsidRDefault="009D697A" w:rsidP="009D697A">
      <w:pPr>
        <w:autoSpaceDE w:val="0"/>
        <w:autoSpaceDN w:val="0"/>
        <w:adjustRightInd w:val="0"/>
        <w:spacing w:before="0" w:after="0"/>
        <w:rPr>
          <w:rFonts w:ascii="MS Shell Dlg 2" w:hAnsi="MS Shell Dlg 2" w:cs="MS Shell Dlg 2"/>
          <w:sz w:val="16"/>
          <w:szCs w:val="16"/>
        </w:rPr>
      </w:pPr>
    </w:p>
    <w:p w14:paraId="6389EACA" w14:textId="77777777" w:rsidR="009D697A" w:rsidRPr="00366D88" w:rsidRDefault="009D697A" w:rsidP="009D697A">
      <w:pPr>
        <w:autoSpaceDE w:val="0"/>
        <w:autoSpaceDN w:val="0"/>
        <w:adjustRightInd w:val="0"/>
        <w:spacing w:before="0" w:after="0"/>
        <w:rPr>
          <w:rFonts w:ascii="MS Shell Dlg 2" w:hAnsi="MS Shell Dlg 2" w:cs="MS Shell Dlg 2"/>
          <w:sz w:val="16"/>
          <w:szCs w:val="16"/>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53"/>
        <w:gridCol w:w="2402"/>
        <w:gridCol w:w="7735"/>
      </w:tblGrid>
      <w:tr w:rsidR="009D697A" w14:paraId="70AC0AA2" w14:textId="77777777" w:rsidTr="00117CE6">
        <w:tc>
          <w:tcPr>
            <w:tcW w:w="10790" w:type="dxa"/>
            <w:gridSpan w:val="3"/>
            <w:shd w:val="clear" w:color="auto" w:fill="DBE5F1" w:themeFill="accent1" w:themeFillTint="33"/>
            <w:tcMar>
              <w:top w:w="0" w:type="nil"/>
              <w:left w:w="0" w:type="nil"/>
              <w:bottom w:w="0" w:type="nil"/>
              <w:right w:w="0" w:type="nil"/>
            </w:tcMar>
          </w:tcPr>
          <w:p w14:paraId="3D0129C4" w14:textId="77777777" w:rsidR="009D697A" w:rsidRDefault="009D697A" w:rsidP="00117CE6">
            <w:pPr>
              <w:pStyle w:val="Heading2"/>
              <w:tabs>
                <w:tab w:val="left" w:pos="3457"/>
              </w:tabs>
            </w:pPr>
            <w:r>
              <w:t xml:space="preserve">Public Folders CHECKLIST </w:t>
            </w:r>
            <w:r w:rsidRPr="00A974CD">
              <w:rPr>
                <w:sz w:val="24"/>
              </w:rPr>
              <w:tab/>
            </w:r>
            <w:r w:rsidRPr="00A974CD">
              <w:rPr>
                <w:sz w:val="24"/>
              </w:rPr>
              <w:br/>
            </w:r>
            <w:r>
              <w:rPr>
                <w:b w:val="0"/>
                <w:sz w:val="16"/>
              </w:rPr>
              <w:t>Elements below are presented in the recommended order of operation.</w:t>
            </w:r>
          </w:p>
        </w:tc>
      </w:tr>
      <w:tr w:rsidR="009D697A" w14:paraId="4A3D636D" w14:textId="77777777" w:rsidTr="00117CE6">
        <w:tc>
          <w:tcPr>
            <w:tcW w:w="653" w:type="dxa"/>
            <w:tcMar>
              <w:top w:w="0" w:type="nil"/>
              <w:left w:w="0" w:type="nil"/>
              <w:bottom w:w="0" w:type="nil"/>
              <w:right w:w="0" w:type="nil"/>
            </w:tcMar>
          </w:tcPr>
          <w:p w14:paraId="1320DF2B" w14:textId="77777777" w:rsidR="009D697A" w:rsidRDefault="009D697A"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6F1E20E7" w14:textId="77777777" w:rsidR="009D697A" w:rsidRDefault="009D697A" w:rsidP="009D697A">
            <w:r>
              <w:t>Analysis and Discussion Current Public Folder Implementation</w:t>
            </w:r>
          </w:p>
        </w:tc>
        <w:tc>
          <w:tcPr>
            <w:tcW w:w="7735" w:type="dxa"/>
            <w:tcMar>
              <w:top w:w="0" w:type="nil"/>
              <w:left w:w="0" w:type="nil"/>
              <w:bottom w:w="0" w:type="nil"/>
              <w:right w:w="0" w:type="nil"/>
            </w:tcMar>
          </w:tcPr>
          <w:p w14:paraId="71E1252B" w14:textId="77777777" w:rsidR="009D697A" w:rsidRDefault="009D697A" w:rsidP="009D697A">
            <w:r>
              <w:t>Priasoft support will discuss and review current Public Folder implementation including the following specific points:</w:t>
            </w:r>
          </w:p>
          <w:p w14:paraId="655BC826" w14:textId="77777777" w:rsidR="009D697A" w:rsidRDefault="009D697A" w:rsidP="009D697A">
            <w:pPr>
              <w:pStyle w:val="ListParagraph"/>
              <w:numPr>
                <w:ilvl w:val="0"/>
                <w:numId w:val="36"/>
              </w:numPr>
            </w:pPr>
            <w:r>
              <w:t xml:space="preserve">Difference between Public Folder Database and Public Folder </w:t>
            </w:r>
            <w:r w:rsidR="003F5A11">
              <w:t>Mailbox</w:t>
            </w:r>
          </w:p>
          <w:p w14:paraId="0D1A3871" w14:textId="77777777" w:rsidR="009D697A" w:rsidRDefault="009D697A" w:rsidP="009D697A">
            <w:pPr>
              <w:pStyle w:val="ListParagraph"/>
              <w:numPr>
                <w:ilvl w:val="0"/>
                <w:numId w:val="36"/>
              </w:numPr>
            </w:pPr>
            <w:r>
              <w:t>Limits of “modern public folders”, including Office 365</w:t>
            </w:r>
          </w:p>
          <w:p w14:paraId="41F40A56" w14:textId="77777777" w:rsidR="009D697A" w:rsidRDefault="003F5A11" w:rsidP="009D697A">
            <w:pPr>
              <w:pStyle w:val="ListParagraph"/>
              <w:numPr>
                <w:ilvl w:val="0"/>
                <w:numId w:val="36"/>
              </w:numPr>
            </w:pPr>
            <w:r>
              <w:t>How public folders are accessed by clients and tools</w:t>
            </w:r>
          </w:p>
        </w:tc>
      </w:tr>
      <w:tr w:rsidR="009D697A" w14:paraId="10FD8D82" w14:textId="77777777" w:rsidTr="00117CE6">
        <w:tc>
          <w:tcPr>
            <w:tcW w:w="653" w:type="dxa"/>
            <w:tcMar>
              <w:top w:w="0" w:type="nil"/>
              <w:left w:w="0" w:type="nil"/>
              <w:bottom w:w="0" w:type="nil"/>
              <w:right w:w="0" w:type="nil"/>
            </w:tcMar>
          </w:tcPr>
          <w:p w14:paraId="301C32CD" w14:textId="77777777" w:rsidR="009D697A"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44D5B305" w14:textId="77777777" w:rsidR="009D697A" w:rsidRDefault="003F5A11" w:rsidP="00117CE6">
            <w:r>
              <w:t>Creation of Public Folder service accounts</w:t>
            </w:r>
          </w:p>
        </w:tc>
        <w:tc>
          <w:tcPr>
            <w:tcW w:w="7735" w:type="dxa"/>
            <w:tcMar>
              <w:top w:w="0" w:type="nil"/>
              <w:left w:w="0" w:type="nil"/>
              <w:bottom w:w="0" w:type="nil"/>
              <w:right w:w="0" w:type="nil"/>
            </w:tcMar>
          </w:tcPr>
          <w:p w14:paraId="5541AAC5" w14:textId="77777777" w:rsidR="003F5A11" w:rsidRDefault="009D697A" w:rsidP="003F5A11">
            <w:r>
              <w:t xml:space="preserve">Priasoft support </w:t>
            </w:r>
            <w:r w:rsidR="003F5A11">
              <w:t>will guide the creation of service accounts to be used by the PF Toolbox suite:</w:t>
            </w:r>
          </w:p>
          <w:p w14:paraId="53412D3E" w14:textId="77777777" w:rsidR="009D697A" w:rsidRDefault="003F5A11" w:rsidP="009D697A">
            <w:pPr>
              <w:pStyle w:val="ListParagraph"/>
              <w:numPr>
                <w:ilvl w:val="0"/>
                <w:numId w:val="36"/>
              </w:numPr>
            </w:pPr>
            <w:r>
              <w:t>Source account creation, with mailbox</w:t>
            </w:r>
          </w:p>
          <w:p w14:paraId="06719006" w14:textId="77777777" w:rsidR="003F5A11" w:rsidRDefault="003F5A11" w:rsidP="009D697A">
            <w:pPr>
              <w:pStyle w:val="ListParagraph"/>
              <w:numPr>
                <w:ilvl w:val="0"/>
                <w:numId w:val="36"/>
              </w:numPr>
            </w:pPr>
            <w:r>
              <w:t>Target account creation, with mailbox</w:t>
            </w:r>
          </w:p>
          <w:p w14:paraId="4DAEEA41" w14:textId="77777777" w:rsidR="003F5A11" w:rsidRDefault="003F5A11" w:rsidP="009D697A">
            <w:pPr>
              <w:pStyle w:val="ListParagraph"/>
              <w:numPr>
                <w:ilvl w:val="0"/>
                <w:numId w:val="36"/>
              </w:numPr>
            </w:pPr>
            <w:r>
              <w:t>Source permissions setup</w:t>
            </w:r>
          </w:p>
          <w:p w14:paraId="4A5DA2AB" w14:textId="77777777" w:rsidR="003F5A11" w:rsidRDefault="003F5A11" w:rsidP="009D697A">
            <w:pPr>
              <w:pStyle w:val="ListParagraph"/>
              <w:numPr>
                <w:ilvl w:val="0"/>
                <w:numId w:val="36"/>
              </w:numPr>
            </w:pPr>
            <w:r>
              <w:t>Target permissions setup</w:t>
            </w:r>
          </w:p>
          <w:p w14:paraId="053658E9" w14:textId="77777777" w:rsidR="003F5A11" w:rsidRDefault="003F5A11" w:rsidP="009D697A">
            <w:pPr>
              <w:pStyle w:val="ListParagraph"/>
              <w:numPr>
                <w:ilvl w:val="0"/>
                <w:numId w:val="36"/>
              </w:numPr>
            </w:pPr>
            <w:r>
              <w:t>Discuss option to create multiple accounts for overcoming throttling limits</w:t>
            </w:r>
          </w:p>
        </w:tc>
      </w:tr>
      <w:tr w:rsidR="009D697A" w14:paraId="34A1D946" w14:textId="77777777" w:rsidTr="00117CE6">
        <w:tc>
          <w:tcPr>
            <w:tcW w:w="653" w:type="dxa"/>
            <w:tcMar>
              <w:top w:w="0" w:type="nil"/>
              <w:left w:w="0" w:type="nil"/>
              <w:bottom w:w="0" w:type="nil"/>
              <w:right w:w="0" w:type="nil"/>
            </w:tcMar>
          </w:tcPr>
          <w:p w14:paraId="6A2A63CE" w14:textId="77777777" w:rsidR="009D697A"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7743BCC9" w14:textId="77777777" w:rsidR="009D697A" w:rsidRDefault="003F5A11" w:rsidP="00117CE6">
            <w:r>
              <w:t>Creation of Outlook Profiles for PF Toolbox</w:t>
            </w:r>
          </w:p>
        </w:tc>
        <w:tc>
          <w:tcPr>
            <w:tcW w:w="7735" w:type="dxa"/>
            <w:tcMar>
              <w:top w:w="0" w:type="nil"/>
              <w:left w:w="0" w:type="nil"/>
              <w:bottom w:w="0" w:type="nil"/>
              <w:right w:w="0" w:type="nil"/>
            </w:tcMar>
          </w:tcPr>
          <w:p w14:paraId="7CAE5AE2" w14:textId="77777777" w:rsidR="009D697A" w:rsidRDefault="003F5A11" w:rsidP="00117CE6">
            <w:r>
              <w:t>Priasoft support will guide the creation of necessary Outlook profiles to be used by the PF Toolbox:</w:t>
            </w:r>
          </w:p>
          <w:p w14:paraId="47E197A6" w14:textId="77777777" w:rsidR="003F5A11" w:rsidRDefault="003F5A11" w:rsidP="003F5A11">
            <w:pPr>
              <w:pStyle w:val="ListParagraph"/>
              <w:numPr>
                <w:ilvl w:val="0"/>
                <w:numId w:val="36"/>
              </w:numPr>
            </w:pPr>
            <w:r>
              <w:t>Outlook Profile(s) for source public folders access.</w:t>
            </w:r>
          </w:p>
          <w:p w14:paraId="34838569" w14:textId="77777777" w:rsidR="003F5A11" w:rsidRDefault="003F5A11" w:rsidP="003F5A11">
            <w:pPr>
              <w:pStyle w:val="ListParagraph"/>
              <w:numPr>
                <w:ilvl w:val="0"/>
                <w:numId w:val="36"/>
              </w:numPr>
            </w:pPr>
            <w:r>
              <w:t>Outlook Profile(s) for target public folders access.</w:t>
            </w:r>
          </w:p>
        </w:tc>
      </w:tr>
      <w:tr w:rsidR="009D697A" w14:paraId="370E086C" w14:textId="77777777" w:rsidTr="00117CE6">
        <w:tc>
          <w:tcPr>
            <w:tcW w:w="653" w:type="dxa"/>
            <w:tcMar>
              <w:top w:w="0" w:type="nil"/>
              <w:left w:w="0" w:type="nil"/>
              <w:bottom w:w="0" w:type="nil"/>
              <w:right w:w="0" w:type="nil"/>
            </w:tcMar>
          </w:tcPr>
          <w:p w14:paraId="40191AE3" w14:textId="77777777" w:rsidR="009D697A"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1E2942BF" w14:textId="77777777" w:rsidR="009D697A" w:rsidRDefault="003F5A11" w:rsidP="00117CE6">
            <w:r>
              <w:t>Execution of Statistics Report</w:t>
            </w:r>
          </w:p>
        </w:tc>
        <w:tc>
          <w:tcPr>
            <w:tcW w:w="7735" w:type="dxa"/>
            <w:tcMar>
              <w:top w:w="0" w:type="nil"/>
              <w:left w:w="0" w:type="nil"/>
              <w:bottom w:w="0" w:type="nil"/>
              <w:right w:w="0" w:type="nil"/>
            </w:tcMar>
          </w:tcPr>
          <w:p w14:paraId="2FF2496B" w14:textId="77777777" w:rsidR="009D697A" w:rsidRDefault="003F5A11" w:rsidP="00117CE6">
            <w:r>
              <w:t>Priasoft will guide the execution of the PF Statistics Report feature of the PF Toolbox.</w:t>
            </w:r>
          </w:p>
          <w:p w14:paraId="7CF751E7" w14:textId="77777777" w:rsidR="003F5A11" w:rsidRDefault="003F5A11" w:rsidP="00117CE6">
            <w:r>
              <w:t>Results will be reviewed and a discussion of critical metrics.</w:t>
            </w:r>
          </w:p>
        </w:tc>
      </w:tr>
      <w:tr w:rsidR="009D697A" w14:paraId="640E06DC" w14:textId="77777777" w:rsidTr="00117CE6">
        <w:tc>
          <w:tcPr>
            <w:tcW w:w="653" w:type="dxa"/>
            <w:tcMar>
              <w:top w:w="0" w:type="nil"/>
              <w:left w:w="0" w:type="nil"/>
              <w:bottom w:w="0" w:type="nil"/>
              <w:right w:w="0" w:type="nil"/>
            </w:tcMar>
          </w:tcPr>
          <w:p w14:paraId="3065FAAA" w14:textId="77777777" w:rsidR="009D697A"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534E2705" w14:textId="77777777" w:rsidR="009D697A" w:rsidRDefault="003F5A11" w:rsidP="00117CE6">
            <w:r>
              <w:t>Creation of Test Folders</w:t>
            </w:r>
          </w:p>
        </w:tc>
        <w:tc>
          <w:tcPr>
            <w:tcW w:w="7735" w:type="dxa"/>
            <w:tcMar>
              <w:top w:w="0" w:type="nil"/>
              <w:left w:w="0" w:type="nil"/>
              <w:bottom w:w="0" w:type="nil"/>
              <w:right w:w="0" w:type="nil"/>
            </w:tcMar>
          </w:tcPr>
          <w:p w14:paraId="783BCDCB" w14:textId="77777777" w:rsidR="009D697A" w:rsidRDefault="003F5A11" w:rsidP="00117CE6">
            <w:r>
              <w:t>Priasoft will guide the creation of a few test folder to be created in the source and target environments, with the following elements:</w:t>
            </w:r>
          </w:p>
          <w:p w14:paraId="2952E2ED" w14:textId="77777777" w:rsidR="003F5A11" w:rsidRDefault="003F5A11" w:rsidP="003F5A11">
            <w:pPr>
              <w:pStyle w:val="ListParagraph"/>
              <w:numPr>
                <w:ilvl w:val="0"/>
                <w:numId w:val="36"/>
              </w:numPr>
            </w:pPr>
            <w:r>
              <w:t>A subtree:  some level of hierarchy should be made.</w:t>
            </w:r>
          </w:p>
          <w:p w14:paraId="6BD87370" w14:textId="77777777" w:rsidR="003F5A11" w:rsidRDefault="003F5A11" w:rsidP="003F5A11">
            <w:pPr>
              <w:pStyle w:val="ListParagraph"/>
              <w:numPr>
                <w:ilvl w:val="0"/>
                <w:numId w:val="36"/>
              </w:numPr>
            </w:pPr>
            <w:r>
              <w:t>Items in the folders</w:t>
            </w:r>
          </w:p>
          <w:p w14:paraId="69D18B9E" w14:textId="77777777" w:rsidR="003F5A11" w:rsidRDefault="003F5A11" w:rsidP="003F5A11">
            <w:pPr>
              <w:pStyle w:val="ListParagraph"/>
              <w:numPr>
                <w:ilvl w:val="0"/>
                <w:numId w:val="36"/>
              </w:numPr>
            </w:pPr>
            <w:r>
              <w:t>Some permissions applied to the folders</w:t>
            </w:r>
          </w:p>
          <w:p w14:paraId="26E61706" w14:textId="77777777" w:rsidR="003F5A11" w:rsidRDefault="003F5A11" w:rsidP="003F5A11">
            <w:pPr>
              <w:pStyle w:val="ListParagraph"/>
              <w:numPr>
                <w:ilvl w:val="0"/>
                <w:numId w:val="36"/>
              </w:numPr>
            </w:pPr>
            <w:r>
              <w:t>Mail-enabling of one or more of the folders</w:t>
            </w:r>
          </w:p>
        </w:tc>
      </w:tr>
      <w:tr w:rsidR="009D697A" w14:paraId="60D51285" w14:textId="77777777" w:rsidTr="00117CE6">
        <w:tc>
          <w:tcPr>
            <w:tcW w:w="653" w:type="dxa"/>
            <w:tcMar>
              <w:top w:w="0" w:type="nil"/>
              <w:left w:w="0" w:type="nil"/>
              <w:bottom w:w="0" w:type="nil"/>
              <w:right w:w="0" w:type="nil"/>
            </w:tcMar>
          </w:tcPr>
          <w:p w14:paraId="092A2348" w14:textId="77777777" w:rsidR="009D697A"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30983036" w14:textId="77777777" w:rsidR="009D697A" w:rsidRDefault="003F5A11" w:rsidP="00117CE6">
            <w:r>
              <w:t>Creation of Sync Job for test folders</w:t>
            </w:r>
          </w:p>
        </w:tc>
        <w:tc>
          <w:tcPr>
            <w:tcW w:w="7735" w:type="dxa"/>
            <w:tcMar>
              <w:top w:w="0" w:type="nil"/>
              <w:left w:w="0" w:type="nil"/>
              <w:bottom w:w="0" w:type="nil"/>
              <w:right w:w="0" w:type="nil"/>
            </w:tcMar>
          </w:tcPr>
          <w:p w14:paraId="597E6427" w14:textId="77777777" w:rsidR="009D697A" w:rsidRDefault="003F5A11" w:rsidP="003F5A11">
            <w:r>
              <w:t>Priasoft will guide the creation of a sync job for the test folders created.</w:t>
            </w:r>
          </w:p>
        </w:tc>
      </w:tr>
      <w:tr w:rsidR="003F5A11" w14:paraId="27D582F4" w14:textId="77777777" w:rsidTr="00117CE6">
        <w:tc>
          <w:tcPr>
            <w:tcW w:w="653" w:type="dxa"/>
            <w:tcMar>
              <w:top w:w="0" w:type="nil"/>
              <w:left w:w="0" w:type="nil"/>
              <w:bottom w:w="0" w:type="nil"/>
              <w:right w:w="0" w:type="nil"/>
            </w:tcMar>
          </w:tcPr>
          <w:p w14:paraId="693456CC" w14:textId="77777777" w:rsidR="003F5A11"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17F2D230" w14:textId="77777777" w:rsidR="003F5A11" w:rsidRDefault="003F5A11" w:rsidP="00117CE6">
            <w:r>
              <w:t>Initial Execution of Test Job</w:t>
            </w:r>
          </w:p>
        </w:tc>
        <w:tc>
          <w:tcPr>
            <w:tcW w:w="7735" w:type="dxa"/>
            <w:tcMar>
              <w:top w:w="0" w:type="nil"/>
              <w:left w:w="0" w:type="nil"/>
              <w:bottom w:w="0" w:type="nil"/>
              <w:right w:w="0" w:type="nil"/>
            </w:tcMar>
          </w:tcPr>
          <w:p w14:paraId="59763B80" w14:textId="77777777" w:rsidR="003F5A11" w:rsidRDefault="003F5A11" w:rsidP="003F5A11">
            <w:r>
              <w:t>Priasoft will guide the execution of the initial sync job</w:t>
            </w:r>
          </w:p>
        </w:tc>
      </w:tr>
      <w:tr w:rsidR="003F5A11" w14:paraId="4A6123EB" w14:textId="77777777" w:rsidTr="00117CE6">
        <w:tc>
          <w:tcPr>
            <w:tcW w:w="653" w:type="dxa"/>
            <w:tcMar>
              <w:top w:w="0" w:type="nil"/>
              <w:left w:w="0" w:type="nil"/>
              <w:bottom w:w="0" w:type="nil"/>
              <w:right w:w="0" w:type="nil"/>
            </w:tcMar>
          </w:tcPr>
          <w:p w14:paraId="450DA23B" w14:textId="77777777" w:rsidR="003F5A11"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3715983C" w14:textId="77777777" w:rsidR="003F5A11" w:rsidRDefault="003F5A11" w:rsidP="00117CE6">
            <w:r>
              <w:t>Options to control sync job</w:t>
            </w:r>
          </w:p>
        </w:tc>
        <w:tc>
          <w:tcPr>
            <w:tcW w:w="7735" w:type="dxa"/>
            <w:tcMar>
              <w:top w:w="0" w:type="nil"/>
              <w:left w:w="0" w:type="nil"/>
              <w:bottom w:w="0" w:type="nil"/>
              <w:right w:w="0" w:type="nil"/>
            </w:tcMar>
          </w:tcPr>
          <w:p w14:paraId="527E17BA" w14:textId="77777777" w:rsidR="003F5A11" w:rsidRDefault="003F5A11" w:rsidP="003F5A11">
            <w:r>
              <w:t>Training will be provided to show how to control some aspects of a sync job</w:t>
            </w:r>
          </w:p>
        </w:tc>
      </w:tr>
    </w:tbl>
    <w:p w14:paraId="0BABD70D" w14:textId="77777777" w:rsidR="009D697A" w:rsidRDefault="009D697A" w:rsidP="009D697A"/>
    <w:p w14:paraId="5A65B7AE" w14:textId="77777777" w:rsidR="009D697A" w:rsidRDefault="009D697A" w:rsidP="009D697A"/>
    <w:p w14:paraId="0B4483A1" w14:textId="77777777" w:rsidR="003F5A11" w:rsidRDefault="003F5A11">
      <w:pPr>
        <w:spacing w:before="0" w:after="0"/>
      </w:pPr>
      <w:r>
        <w:br w:type="page"/>
      </w:r>
    </w:p>
    <w:p w14:paraId="5E7A5CCD" w14:textId="77777777" w:rsidR="003F5A11" w:rsidRDefault="003F5A11" w:rsidP="003F5A11">
      <w:pPr>
        <w:pStyle w:val="Heading2"/>
      </w:pPr>
      <w:r>
        <w:lastRenderedPageBreak/>
        <w:t>Dry-R</w:t>
      </w:r>
      <w:r w:rsidR="005071A2">
        <w:t>u</w:t>
      </w:r>
      <w:r>
        <w:t>n Exercises</w:t>
      </w:r>
    </w:p>
    <w:p w14:paraId="17470FD9" w14:textId="77777777" w:rsidR="003F5A11" w:rsidRPr="004E67DC" w:rsidRDefault="003F5A11" w:rsidP="003F5A11">
      <w:r>
        <w:t>This step in the process will be used to discuss and execute a dry-run of a few mailboxes.</w:t>
      </w:r>
    </w:p>
    <w:p w14:paraId="1C37B679" w14:textId="77777777" w:rsidR="003F5A11" w:rsidRDefault="003F5A11" w:rsidP="003F5A11"/>
    <w:p w14:paraId="2060141B" w14:textId="77777777" w:rsidR="003F5A11" w:rsidRDefault="003F5A11" w:rsidP="003F5A11">
      <w:r>
        <w:t>The dry-run feature is used for the following elements:</w:t>
      </w:r>
    </w:p>
    <w:p w14:paraId="20F0029D" w14:textId="77777777" w:rsidR="003F5A11" w:rsidRDefault="003F5A11" w:rsidP="003F5A11">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Functional testing</w:t>
      </w:r>
    </w:p>
    <w:p w14:paraId="32A0FA5B" w14:textId="77777777" w:rsidR="003F5A11" w:rsidRDefault="003F5A11" w:rsidP="003F5A11">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Performance tuning</w:t>
      </w:r>
    </w:p>
    <w:p w14:paraId="64B14D2C" w14:textId="77777777" w:rsidR="003F5A11" w:rsidRDefault="003F5A11" w:rsidP="003F5A11">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Fidelity testing</w:t>
      </w:r>
    </w:p>
    <w:p w14:paraId="00EA8235" w14:textId="77777777" w:rsidR="003F5A11" w:rsidRPr="004E67DC" w:rsidRDefault="003F5A11" w:rsidP="003F5A11">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Duration discovery</w:t>
      </w:r>
    </w:p>
    <w:p w14:paraId="3F91C9FA" w14:textId="77777777" w:rsidR="003F5A11" w:rsidRPr="004E67DC" w:rsidRDefault="003F5A11" w:rsidP="003F5A11">
      <w:pPr>
        <w:autoSpaceDE w:val="0"/>
        <w:autoSpaceDN w:val="0"/>
        <w:adjustRightInd w:val="0"/>
        <w:spacing w:before="0" w:after="0"/>
        <w:rPr>
          <w:rFonts w:ascii="MS Shell Dlg 2" w:hAnsi="MS Shell Dlg 2" w:cs="MS Shell Dlg 2"/>
          <w:sz w:val="16"/>
          <w:szCs w:val="16"/>
        </w:rPr>
      </w:pPr>
    </w:p>
    <w:p w14:paraId="56FE416E" w14:textId="77777777" w:rsidR="003F5A11" w:rsidRPr="004E67DC" w:rsidRDefault="003F5A11" w:rsidP="003F5A11">
      <w:pPr>
        <w:autoSpaceDE w:val="0"/>
        <w:autoSpaceDN w:val="0"/>
        <w:adjustRightInd w:val="0"/>
        <w:spacing w:before="0" w:after="0"/>
        <w:rPr>
          <w:rFonts w:ascii="MS Shell Dlg 2" w:hAnsi="MS Shell Dlg 2" w:cs="MS Shell Dlg 2"/>
          <w:color w:val="C00000"/>
          <w:sz w:val="16"/>
          <w:szCs w:val="16"/>
        </w:rPr>
      </w:pPr>
      <w:r>
        <w:rPr>
          <w:rFonts w:ascii="MS Shell Dlg 2" w:hAnsi="MS Shell Dlg 2" w:cs="MS Shell Dlg 2"/>
          <w:color w:val="C00000"/>
          <w:sz w:val="16"/>
          <w:szCs w:val="16"/>
        </w:rPr>
        <w:t>NOTE: Priasoft highly recommends EVERY mailbox that is to be migrated be sent through a dry-run pass at least once</w:t>
      </w:r>
      <w:r w:rsidRPr="004E67DC">
        <w:rPr>
          <w:rFonts w:ascii="MS Shell Dlg 2" w:hAnsi="MS Shell Dlg 2" w:cs="MS Shell Dlg 2"/>
          <w:color w:val="C00000"/>
          <w:sz w:val="16"/>
          <w:szCs w:val="16"/>
        </w:rPr>
        <w:t>.</w:t>
      </w:r>
      <w:r>
        <w:rPr>
          <w:rFonts w:ascii="MS Shell Dlg 2" w:hAnsi="MS Shell Dlg 2" w:cs="MS Shell Dlg 2"/>
          <w:color w:val="C00000"/>
          <w:sz w:val="16"/>
          <w:szCs w:val="16"/>
        </w:rPr>
        <w:t xml:space="preserve">  Support may be limited for cases where dry-run exercises are skipped.</w:t>
      </w:r>
    </w:p>
    <w:p w14:paraId="7320F472" w14:textId="77777777" w:rsidR="003F5A11" w:rsidRDefault="003F5A11" w:rsidP="003F5A11">
      <w:pPr>
        <w:autoSpaceDE w:val="0"/>
        <w:autoSpaceDN w:val="0"/>
        <w:adjustRightInd w:val="0"/>
        <w:spacing w:before="0" w:after="0"/>
        <w:rPr>
          <w:rFonts w:ascii="MS Shell Dlg 2" w:hAnsi="MS Shell Dlg 2" w:cs="MS Shell Dlg 2"/>
          <w:sz w:val="16"/>
          <w:szCs w:val="16"/>
        </w:rPr>
      </w:pPr>
    </w:p>
    <w:p w14:paraId="524EB14C" w14:textId="77777777" w:rsidR="003F5A11" w:rsidRPr="00366D88" w:rsidRDefault="003F5A11" w:rsidP="003F5A11">
      <w:pPr>
        <w:autoSpaceDE w:val="0"/>
        <w:autoSpaceDN w:val="0"/>
        <w:adjustRightInd w:val="0"/>
        <w:spacing w:before="0" w:after="0"/>
        <w:rPr>
          <w:rFonts w:ascii="MS Shell Dlg 2" w:hAnsi="MS Shell Dlg 2" w:cs="MS Shell Dlg 2"/>
          <w:sz w:val="16"/>
          <w:szCs w:val="16"/>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53"/>
        <w:gridCol w:w="2402"/>
        <w:gridCol w:w="7735"/>
      </w:tblGrid>
      <w:tr w:rsidR="003F5A11" w14:paraId="57080610" w14:textId="77777777" w:rsidTr="00117CE6">
        <w:tc>
          <w:tcPr>
            <w:tcW w:w="10790" w:type="dxa"/>
            <w:gridSpan w:val="3"/>
            <w:shd w:val="clear" w:color="auto" w:fill="DBE5F1" w:themeFill="accent1" w:themeFillTint="33"/>
            <w:tcMar>
              <w:top w:w="0" w:type="nil"/>
              <w:left w:w="0" w:type="nil"/>
              <w:bottom w:w="0" w:type="nil"/>
              <w:right w:w="0" w:type="nil"/>
            </w:tcMar>
          </w:tcPr>
          <w:p w14:paraId="2FF4A26D" w14:textId="77777777" w:rsidR="003F5A11" w:rsidRDefault="003F5A11" w:rsidP="00117CE6">
            <w:pPr>
              <w:pStyle w:val="Heading2"/>
              <w:tabs>
                <w:tab w:val="left" w:pos="3457"/>
              </w:tabs>
            </w:pPr>
            <w:r>
              <w:t xml:space="preserve">Dry-Run Execution CHECKLIST </w:t>
            </w:r>
            <w:r w:rsidRPr="00A974CD">
              <w:rPr>
                <w:sz w:val="24"/>
              </w:rPr>
              <w:tab/>
            </w:r>
            <w:r w:rsidRPr="00A974CD">
              <w:rPr>
                <w:sz w:val="24"/>
              </w:rPr>
              <w:br/>
            </w:r>
            <w:r>
              <w:rPr>
                <w:b w:val="0"/>
                <w:sz w:val="16"/>
              </w:rPr>
              <w:t>Elements below are presented in the recommended order of operation.</w:t>
            </w:r>
          </w:p>
        </w:tc>
      </w:tr>
      <w:tr w:rsidR="003F5A11" w14:paraId="74BEE4DA" w14:textId="77777777" w:rsidTr="00117CE6">
        <w:tc>
          <w:tcPr>
            <w:tcW w:w="653" w:type="dxa"/>
            <w:tcMar>
              <w:top w:w="0" w:type="nil"/>
              <w:left w:w="0" w:type="nil"/>
              <w:bottom w:w="0" w:type="nil"/>
              <w:right w:w="0" w:type="nil"/>
            </w:tcMar>
          </w:tcPr>
          <w:p w14:paraId="69DD852D" w14:textId="77777777" w:rsidR="003F5A11" w:rsidRDefault="003F5A11"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724B08BB" w14:textId="77777777" w:rsidR="003F5A11" w:rsidRDefault="003F5A11" w:rsidP="00117CE6">
            <w:r>
              <w:t>Discussion of purpose of dry-run and when to use</w:t>
            </w:r>
          </w:p>
        </w:tc>
        <w:tc>
          <w:tcPr>
            <w:tcW w:w="7735" w:type="dxa"/>
            <w:tcMar>
              <w:top w:w="0" w:type="nil"/>
              <w:left w:w="0" w:type="nil"/>
              <w:bottom w:w="0" w:type="nil"/>
              <w:right w:w="0" w:type="nil"/>
            </w:tcMar>
          </w:tcPr>
          <w:p w14:paraId="439AD1AA" w14:textId="77777777" w:rsidR="003F5A11" w:rsidRDefault="003F5A11" w:rsidP="00117CE6">
            <w:r>
              <w:t>Priasoft support will discuss the use of the dry-run feature and how to use it for each purpose:</w:t>
            </w:r>
          </w:p>
          <w:p w14:paraId="256A379B" w14:textId="77777777" w:rsidR="003F5A11" w:rsidRDefault="003F5A11" w:rsidP="003F5A11">
            <w:pPr>
              <w:pStyle w:val="ListParagraph"/>
              <w:numPr>
                <w:ilvl w:val="0"/>
                <w:numId w:val="36"/>
              </w:numPr>
            </w:pPr>
            <w:r>
              <w:t>To prove that migrations can occur without issue</w:t>
            </w:r>
          </w:p>
          <w:p w14:paraId="76E40EC5" w14:textId="77777777" w:rsidR="003F5A11" w:rsidRDefault="003F5A11" w:rsidP="003F5A11">
            <w:pPr>
              <w:pStyle w:val="ListParagraph"/>
              <w:numPr>
                <w:ilvl w:val="0"/>
                <w:numId w:val="36"/>
              </w:numPr>
            </w:pPr>
            <w:r>
              <w:t>To determine maximum concurrency that the environments can support</w:t>
            </w:r>
          </w:p>
          <w:p w14:paraId="26179720" w14:textId="77777777" w:rsidR="003F5A11" w:rsidRDefault="003F5A11" w:rsidP="003F5A11">
            <w:pPr>
              <w:pStyle w:val="ListParagraph"/>
              <w:numPr>
                <w:ilvl w:val="0"/>
                <w:numId w:val="36"/>
              </w:numPr>
            </w:pPr>
            <w:r>
              <w:t>To discover issues that may only occur during a migration</w:t>
            </w:r>
          </w:p>
          <w:p w14:paraId="720D6E54" w14:textId="77777777" w:rsidR="003F5A11" w:rsidRDefault="003F5A11" w:rsidP="003F5A11">
            <w:pPr>
              <w:pStyle w:val="ListParagraph"/>
              <w:numPr>
                <w:ilvl w:val="0"/>
                <w:numId w:val="36"/>
              </w:numPr>
            </w:pPr>
            <w:r>
              <w:t>To discover the impact on physical resources based on concurrency</w:t>
            </w:r>
          </w:p>
          <w:p w14:paraId="084E8634" w14:textId="77777777" w:rsidR="003F5A11" w:rsidRDefault="003F5A11" w:rsidP="003F5A11">
            <w:pPr>
              <w:pStyle w:val="ListParagraph"/>
              <w:numPr>
                <w:ilvl w:val="0"/>
                <w:numId w:val="36"/>
              </w:numPr>
            </w:pPr>
            <w:r>
              <w:t>To discover the duration of a given batch based on selected options</w:t>
            </w:r>
          </w:p>
          <w:p w14:paraId="477F2BC4" w14:textId="77777777" w:rsidR="003F5A11" w:rsidRDefault="003F5A11" w:rsidP="003F5A11">
            <w:pPr>
              <w:pStyle w:val="ListParagraph"/>
              <w:numPr>
                <w:ilvl w:val="0"/>
                <w:numId w:val="36"/>
              </w:numPr>
            </w:pPr>
            <w:r>
              <w:t>To provide vetting of new target infrastructure and configurations</w:t>
            </w:r>
          </w:p>
        </w:tc>
      </w:tr>
      <w:tr w:rsidR="003F5A11" w14:paraId="1AC70C78" w14:textId="77777777" w:rsidTr="00117CE6">
        <w:tc>
          <w:tcPr>
            <w:tcW w:w="653" w:type="dxa"/>
            <w:tcMar>
              <w:top w:w="0" w:type="nil"/>
              <w:left w:w="0" w:type="nil"/>
              <w:bottom w:w="0" w:type="nil"/>
              <w:right w:w="0" w:type="nil"/>
            </w:tcMar>
          </w:tcPr>
          <w:p w14:paraId="5A5E798D" w14:textId="77777777" w:rsidR="003F5A11"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756A07E3" w14:textId="77777777" w:rsidR="003F5A11" w:rsidRDefault="003F5A11" w:rsidP="00117CE6">
            <w:r>
              <w:t>Creation/selection of test mailboxes</w:t>
            </w:r>
          </w:p>
        </w:tc>
        <w:tc>
          <w:tcPr>
            <w:tcW w:w="7735" w:type="dxa"/>
            <w:tcMar>
              <w:top w:w="0" w:type="nil"/>
              <w:left w:w="0" w:type="nil"/>
              <w:bottom w:w="0" w:type="nil"/>
              <w:right w:w="0" w:type="nil"/>
            </w:tcMar>
          </w:tcPr>
          <w:p w14:paraId="7FBD7E5B" w14:textId="77777777" w:rsidR="003F5A11" w:rsidRDefault="003F5A11" w:rsidP="003F5A11">
            <w:r>
              <w:t>Priasoft will guide the creation or selection of one or more test mailboxes for use in a dry-run exercise.</w:t>
            </w:r>
          </w:p>
          <w:p w14:paraId="23A562AB" w14:textId="77777777" w:rsidR="003F5A11" w:rsidRDefault="003F5A11" w:rsidP="003F5A11">
            <w:r>
              <w:t>Chosen/created mailboxes should be small in size (no more than a few hundred items total per mailbox) so that results and reports can be analyzed quickly.</w:t>
            </w:r>
          </w:p>
        </w:tc>
      </w:tr>
      <w:tr w:rsidR="003F5A11" w14:paraId="08CF73A3" w14:textId="77777777" w:rsidTr="00117CE6">
        <w:tc>
          <w:tcPr>
            <w:tcW w:w="653" w:type="dxa"/>
            <w:tcMar>
              <w:top w:w="0" w:type="nil"/>
              <w:left w:w="0" w:type="nil"/>
              <w:bottom w:w="0" w:type="nil"/>
              <w:right w:w="0" w:type="nil"/>
            </w:tcMar>
          </w:tcPr>
          <w:p w14:paraId="613622F8" w14:textId="77777777" w:rsidR="003F5A11"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74E879F4" w14:textId="77777777" w:rsidR="003F5A11" w:rsidRDefault="003F5A11" w:rsidP="00117CE6">
            <w:r>
              <w:t>Dry-run of test mailboxes</w:t>
            </w:r>
          </w:p>
        </w:tc>
        <w:tc>
          <w:tcPr>
            <w:tcW w:w="7735" w:type="dxa"/>
            <w:tcMar>
              <w:top w:w="0" w:type="nil"/>
              <w:left w:w="0" w:type="nil"/>
              <w:bottom w:w="0" w:type="nil"/>
              <w:right w:w="0" w:type="nil"/>
            </w:tcMar>
          </w:tcPr>
          <w:p w14:paraId="159B7B22" w14:textId="77777777" w:rsidR="003F5A11" w:rsidRDefault="003F5A11" w:rsidP="003F5A11">
            <w:r>
              <w:t>Priasoft will guide the migration in dry-run mode of the test mailboxes.</w:t>
            </w:r>
          </w:p>
        </w:tc>
      </w:tr>
      <w:tr w:rsidR="003F5A11" w14:paraId="74521E59" w14:textId="77777777" w:rsidTr="00117CE6">
        <w:tc>
          <w:tcPr>
            <w:tcW w:w="653" w:type="dxa"/>
            <w:tcMar>
              <w:top w:w="0" w:type="nil"/>
              <w:left w:w="0" w:type="nil"/>
              <w:bottom w:w="0" w:type="nil"/>
              <w:right w:w="0" w:type="nil"/>
            </w:tcMar>
          </w:tcPr>
          <w:p w14:paraId="1993F51B" w14:textId="77777777" w:rsidR="003F5A11"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5C2ECBD2" w14:textId="77777777" w:rsidR="003F5A11" w:rsidRDefault="003F5A11" w:rsidP="00117CE6">
            <w:r>
              <w:t>Review of results</w:t>
            </w:r>
          </w:p>
        </w:tc>
        <w:tc>
          <w:tcPr>
            <w:tcW w:w="7735" w:type="dxa"/>
            <w:tcMar>
              <w:top w:w="0" w:type="nil"/>
              <w:left w:w="0" w:type="nil"/>
              <w:bottom w:w="0" w:type="nil"/>
              <w:right w:w="0" w:type="nil"/>
            </w:tcMar>
          </w:tcPr>
          <w:p w14:paraId="0A4E2E47" w14:textId="77777777" w:rsidR="003F5A11" w:rsidRDefault="003F5A11" w:rsidP="003F5A11">
            <w:r>
              <w:t>Priasoft will provide training on where and what data is produced for reporting and logging.</w:t>
            </w:r>
          </w:p>
        </w:tc>
      </w:tr>
    </w:tbl>
    <w:p w14:paraId="0D634441" w14:textId="77777777" w:rsidR="003F5A11" w:rsidRDefault="003F5A11"/>
    <w:p w14:paraId="343E3846" w14:textId="77777777" w:rsidR="003F5A11" w:rsidRDefault="003F5A11">
      <w:pPr>
        <w:spacing w:before="0" w:after="0"/>
      </w:pPr>
      <w:r>
        <w:br w:type="page"/>
      </w:r>
    </w:p>
    <w:p w14:paraId="520193EB" w14:textId="77777777" w:rsidR="005071A2" w:rsidRDefault="005071A2" w:rsidP="005071A2">
      <w:pPr>
        <w:pStyle w:val="Heading2"/>
      </w:pPr>
      <w:r>
        <w:lastRenderedPageBreak/>
        <w:t>Single-Sign-On</w:t>
      </w:r>
    </w:p>
    <w:p w14:paraId="21948AF2" w14:textId="77777777" w:rsidR="005071A2" w:rsidRPr="004E67DC" w:rsidRDefault="005071A2" w:rsidP="005071A2">
      <w:r>
        <w:t>This step in the process will be used to discuss the options available for single-sign-on to mailboxes following a migration.</w:t>
      </w:r>
    </w:p>
    <w:p w14:paraId="5AA320F5" w14:textId="77777777" w:rsidR="005071A2" w:rsidRDefault="005071A2" w:rsidP="005071A2"/>
    <w:p w14:paraId="3F3435F0" w14:textId="77777777" w:rsidR="005071A2" w:rsidRDefault="005071A2" w:rsidP="005071A2">
      <w:r>
        <w:t>For cross-forest migrations, the following options exist:</w:t>
      </w:r>
    </w:p>
    <w:p w14:paraId="51061759" w14:textId="77777777" w:rsidR="005071A2" w:rsidRDefault="005071A2" w:rsidP="005071A2">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SID Future</w:t>
      </w:r>
    </w:p>
    <w:p w14:paraId="71BA7F08" w14:textId="77777777" w:rsidR="005071A2" w:rsidRDefault="005071A2" w:rsidP="005071A2">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Linked Mailboxes</w:t>
      </w:r>
    </w:p>
    <w:p w14:paraId="1AA83D9C" w14:textId="77777777" w:rsidR="005071A2" w:rsidRDefault="005071A2" w:rsidP="005071A2">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 xml:space="preserve">Migrate and change user logon in the same event as the mailbox migration </w:t>
      </w:r>
    </w:p>
    <w:p w14:paraId="43504C22" w14:textId="77777777" w:rsidR="005071A2" w:rsidRDefault="005071A2" w:rsidP="005071A2">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Password sync</w:t>
      </w:r>
    </w:p>
    <w:p w14:paraId="7A85929C" w14:textId="77777777" w:rsidR="005071A2" w:rsidRDefault="005071A2" w:rsidP="005071A2">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Active Directory Federation Services</w:t>
      </w:r>
    </w:p>
    <w:p w14:paraId="715657D7" w14:textId="77777777" w:rsidR="005071A2" w:rsidRPr="005071A2" w:rsidRDefault="005071A2" w:rsidP="005071A2">
      <w:pPr>
        <w:autoSpaceDE w:val="0"/>
        <w:autoSpaceDN w:val="0"/>
        <w:adjustRightInd w:val="0"/>
        <w:spacing w:before="0" w:after="0"/>
        <w:rPr>
          <w:rFonts w:ascii="MS Shell Dlg 2" w:hAnsi="MS Shell Dlg 2" w:cs="MS Shell Dlg 2"/>
          <w:sz w:val="16"/>
          <w:szCs w:val="16"/>
        </w:rPr>
      </w:pPr>
    </w:p>
    <w:p w14:paraId="1874C5F9" w14:textId="77777777" w:rsidR="005071A2" w:rsidRDefault="005071A2" w:rsidP="005071A2">
      <w:p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For migration scenarios where Office 365 is the destination:</w:t>
      </w:r>
    </w:p>
    <w:p w14:paraId="52DBA677" w14:textId="77777777" w:rsidR="005071A2" w:rsidRDefault="005071A2" w:rsidP="005071A2">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AADC Password Sync</w:t>
      </w:r>
    </w:p>
    <w:p w14:paraId="4F8E083C" w14:textId="77777777" w:rsidR="005071A2" w:rsidRDefault="005071A2" w:rsidP="005071A2">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Full Hybrid mode with Federation</w:t>
      </w:r>
    </w:p>
    <w:p w14:paraId="16DEB9F2" w14:textId="77777777" w:rsidR="005071A2" w:rsidRDefault="005071A2" w:rsidP="005071A2">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Migrate and change user logon to use Microsoft cloud accounts (windows 8 and later only)</w:t>
      </w:r>
    </w:p>
    <w:p w14:paraId="79902BB6" w14:textId="77777777" w:rsidR="005071A2" w:rsidRDefault="005071A2" w:rsidP="005071A2">
      <w:pPr>
        <w:autoSpaceDE w:val="0"/>
        <w:autoSpaceDN w:val="0"/>
        <w:adjustRightInd w:val="0"/>
        <w:spacing w:before="0" w:after="0"/>
        <w:rPr>
          <w:rFonts w:ascii="MS Shell Dlg 2" w:hAnsi="MS Shell Dlg 2" w:cs="MS Shell Dlg 2"/>
          <w:sz w:val="16"/>
          <w:szCs w:val="16"/>
        </w:rPr>
      </w:pPr>
    </w:p>
    <w:p w14:paraId="2AE9EB2A" w14:textId="77777777" w:rsidR="005071A2" w:rsidRPr="004E67DC" w:rsidRDefault="005071A2" w:rsidP="005071A2">
      <w:pPr>
        <w:autoSpaceDE w:val="0"/>
        <w:autoSpaceDN w:val="0"/>
        <w:adjustRightInd w:val="0"/>
        <w:spacing w:before="0" w:after="0"/>
        <w:rPr>
          <w:rFonts w:ascii="MS Shell Dlg 2" w:hAnsi="MS Shell Dlg 2" w:cs="MS Shell Dlg 2"/>
          <w:sz w:val="16"/>
          <w:szCs w:val="16"/>
        </w:rPr>
      </w:pPr>
    </w:p>
    <w:p w14:paraId="6AEF8272" w14:textId="77777777" w:rsidR="005071A2" w:rsidRPr="004E67DC" w:rsidRDefault="005071A2" w:rsidP="005071A2">
      <w:pPr>
        <w:autoSpaceDE w:val="0"/>
        <w:autoSpaceDN w:val="0"/>
        <w:adjustRightInd w:val="0"/>
        <w:spacing w:before="0" w:after="0"/>
        <w:rPr>
          <w:rFonts w:ascii="MS Shell Dlg 2" w:hAnsi="MS Shell Dlg 2" w:cs="MS Shell Dlg 2"/>
          <w:color w:val="C00000"/>
          <w:sz w:val="16"/>
          <w:szCs w:val="16"/>
        </w:rPr>
      </w:pPr>
      <w:r>
        <w:rPr>
          <w:rFonts w:ascii="MS Shell Dlg 2" w:hAnsi="MS Shell Dlg 2" w:cs="MS Shell Dlg 2"/>
          <w:color w:val="C00000"/>
          <w:sz w:val="16"/>
          <w:szCs w:val="16"/>
        </w:rPr>
        <w:t>NOTE: The above options, even when implemented, may not work for every user depending upon where and how the logon.  There is an assumption that the above is for users of the Windows operating system only.</w:t>
      </w:r>
    </w:p>
    <w:p w14:paraId="016C479A" w14:textId="77777777" w:rsidR="005071A2" w:rsidRDefault="005071A2" w:rsidP="005071A2">
      <w:pPr>
        <w:autoSpaceDE w:val="0"/>
        <w:autoSpaceDN w:val="0"/>
        <w:adjustRightInd w:val="0"/>
        <w:spacing w:before="0" w:after="0"/>
        <w:rPr>
          <w:rFonts w:ascii="MS Shell Dlg 2" w:hAnsi="MS Shell Dlg 2" w:cs="MS Shell Dlg 2"/>
          <w:sz w:val="16"/>
          <w:szCs w:val="16"/>
        </w:rPr>
      </w:pPr>
    </w:p>
    <w:p w14:paraId="32039FE9" w14:textId="77777777" w:rsidR="005071A2" w:rsidRPr="00366D88" w:rsidRDefault="005071A2" w:rsidP="005071A2">
      <w:pPr>
        <w:autoSpaceDE w:val="0"/>
        <w:autoSpaceDN w:val="0"/>
        <w:adjustRightInd w:val="0"/>
        <w:spacing w:before="0" w:after="0"/>
        <w:rPr>
          <w:rFonts w:ascii="MS Shell Dlg 2" w:hAnsi="MS Shell Dlg 2" w:cs="MS Shell Dlg 2"/>
          <w:sz w:val="16"/>
          <w:szCs w:val="16"/>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53"/>
        <w:gridCol w:w="2402"/>
        <w:gridCol w:w="7735"/>
      </w:tblGrid>
      <w:tr w:rsidR="005071A2" w14:paraId="21D2BF7E" w14:textId="77777777" w:rsidTr="00117CE6">
        <w:tc>
          <w:tcPr>
            <w:tcW w:w="10790" w:type="dxa"/>
            <w:gridSpan w:val="3"/>
            <w:shd w:val="clear" w:color="auto" w:fill="DBE5F1" w:themeFill="accent1" w:themeFillTint="33"/>
            <w:tcMar>
              <w:top w:w="0" w:type="nil"/>
              <w:left w:w="0" w:type="nil"/>
              <w:bottom w:w="0" w:type="nil"/>
              <w:right w:w="0" w:type="nil"/>
            </w:tcMar>
          </w:tcPr>
          <w:p w14:paraId="501A73A1" w14:textId="77777777" w:rsidR="005071A2" w:rsidRDefault="005071A2" w:rsidP="00117CE6">
            <w:pPr>
              <w:pStyle w:val="Heading2"/>
              <w:tabs>
                <w:tab w:val="left" w:pos="3457"/>
              </w:tabs>
            </w:pPr>
            <w:r>
              <w:t xml:space="preserve">Single-Sign-On CHECKLIST </w:t>
            </w:r>
            <w:r w:rsidRPr="00A974CD">
              <w:rPr>
                <w:sz w:val="24"/>
              </w:rPr>
              <w:tab/>
            </w:r>
            <w:r w:rsidRPr="00A974CD">
              <w:rPr>
                <w:sz w:val="24"/>
              </w:rPr>
              <w:br/>
            </w:r>
            <w:r>
              <w:rPr>
                <w:b w:val="0"/>
                <w:sz w:val="16"/>
              </w:rPr>
              <w:t>Elements below are presented in the recommended order of operation.</w:t>
            </w:r>
          </w:p>
        </w:tc>
      </w:tr>
      <w:tr w:rsidR="005071A2" w14:paraId="73D6E71D" w14:textId="77777777" w:rsidTr="00117CE6">
        <w:tc>
          <w:tcPr>
            <w:tcW w:w="653" w:type="dxa"/>
            <w:tcMar>
              <w:top w:w="0" w:type="nil"/>
              <w:left w:w="0" w:type="nil"/>
              <w:bottom w:w="0" w:type="nil"/>
              <w:right w:w="0" w:type="nil"/>
            </w:tcMar>
          </w:tcPr>
          <w:p w14:paraId="2D091865" w14:textId="77777777" w:rsidR="005071A2" w:rsidRDefault="005071A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50F9A971" w14:textId="77777777" w:rsidR="005071A2" w:rsidRDefault="005071A2" w:rsidP="00117CE6">
            <w:r>
              <w:t>Discussion of Single-Sign-On and its use and importance</w:t>
            </w:r>
          </w:p>
        </w:tc>
        <w:tc>
          <w:tcPr>
            <w:tcW w:w="7735" w:type="dxa"/>
            <w:tcMar>
              <w:top w:w="0" w:type="nil"/>
              <w:left w:w="0" w:type="nil"/>
              <w:bottom w:w="0" w:type="nil"/>
              <w:right w:w="0" w:type="nil"/>
            </w:tcMar>
          </w:tcPr>
          <w:p w14:paraId="14E62A39" w14:textId="77777777" w:rsidR="005071A2" w:rsidRDefault="005071A2" w:rsidP="005071A2">
            <w:r>
              <w:t>Priasoft will lead the discussion of the options for single-sign-on (SSO) and the caveats and requirements for each option.</w:t>
            </w:r>
          </w:p>
          <w:p w14:paraId="5CEE7BD6" w14:textId="77777777" w:rsidR="005071A2" w:rsidRDefault="005071A2" w:rsidP="005071A2">
            <w:r>
              <w:t>Current strategy, if one exists, will be reviewed and compared to available options.</w:t>
            </w:r>
          </w:p>
          <w:p w14:paraId="4411A43F" w14:textId="77777777" w:rsidR="005071A2" w:rsidRDefault="005071A2" w:rsidP="005071A2">
            <w:r>
              <w:t>Impact of migrating without Single-Sign-On will be discussed.</w:t>
            </w:r>
          </w:p>
        </w:tc>
      </w:tr>
      <w:tr w:rsidR="005071A2" w14:paraId="424A7C3A" w14:textId="77777777" w:rsidTr="00117CE6">
        <w:tc>
          <w:tcPr>
            <w:tcW w:w="653" w:type="dxa"/>
            <w:tcMar>
              <w:top w:w="0" w:type="nil"/>
              <w:left w:w="0" w:type="nil"/>
              <w:bottom w:w="0" w:type="nil"/>
              <w:right w:w="0" w:type="nil"/>
            </w:tcMar>
          </w:tcPr>
          <w:p w14:paraId="166D48C3" w14:textId="77777777" w:rsidR="005071A2"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798D12D0" w14:textId="77777777" w:rsidR="005071A2" w:rsidRDefault="005071A2" w:rsidP="00117CE6">
            <w:r>
              <w:t>SID Future</w:t>
            </w:r>
          </w:p>
        </w:tc>
        <w:tc>
          <w:tcPr>
            <w:tcW w:w="7735" w:type="dxa"/>
            <w:tcMar>
              <w:top w:w="0" w:type="nil"/>
              <w:left w:w="0" w:type="nil"/>
              <w:bottom w:w="0" w:type="nil"/>
              <w:right w:w="0" w:type="nil"/>
            </w:tcMar>
          </w:tcPr>
          <w:p w14:paraId="3417BBAF" w14:textId="77777777" w:rsidR="005071A2" w:rsidRDefault="005071A2" w:rsidP="00117CE6">
            <w:r>
              <w:t>This is a Priasoft generated moniker that expresses the idea of using the built-in SID History feature of Active Directory to provide SSO.</w:t>
            </w:r>
          </w:p>
          <w:p w14:paraId="0D8807D0" w14:textId="77777777" w:rsidR="005071A2" w:rsidRDefault="005071A2" w:rsidP="005071A2">
            <w:r>
              <w:t>This is the best and recommended approach.</w:t>
            </w:r>
          </w:p>
          <w:p w14:paraId="36A064DE" w14:textId="77777777" w:rsidR="005071A2" w:rsidRDefault="005071A2" w:rsidP="005071A2">
            <w:r>
              <w:t>This option requires a Windows Trust between the source and target domains or forests.</w:t>
            </w:r>
          </w:p>
        </w:tc>
      </w:tr>
      <w:tr w:rsidR="005071A2" w14:paraId="39985A88" w14:textId="77777777" w:rsidTr="00117CE6">
        <w:tc>
          <w:tcPr>
            <w:tcW w:w="653" w:type="dxa"/>
            <w:tcMar>
              <w:top w:w="0" w:type="nil"/>
              <w:left w:w="0" w:type="nil"/>
              <w:bottom w:w="0" w:type="nil"/>
              <w:right w:w="0" w:type="nil"/>
            </w:tcMar>
          </w:tcPr>
          <w:p w14:paraId="3E8CA645" w14:textId="77777777" w:rsidR="005071A2"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34D37FCE" w14:textId="77777777" w:rsidR="005071A2" w:rsidRDefault="005071A2" w:rsidP="00117CE6">
            <w:r>
              <w:t>Linked Mailboxes</w:t>
            </w:r>
          </w:p>
        </w:tc>
        <w:tc>
          <w:tcPr>
            <w:tcW w:w="7735" w:type="dxa"/>
            <w:tcMar>
              <w:top w:w="0" w:type="nil"/>
              <w:left w:w="0" w:type="nil"/>
              <w:bottom w:w="0" w:type="nil"/>
              <w:right w:w="0" w:type="nil"/>
            </w:tcMar>
          </w:tcPr>
          <w:p w14:paraId="30DADA67" w14:textId="77777777" w:rsidR="005071A2" w:rsidRDefault="005071A2" w:rsidP="00117CE6">
            <w:r>
              <w:t>This is a Microsoft Exchange specific feature and one which only Outlook and OWA can leverage.</w:t>
            </w:r>
          </w:p>
          <w:p w14:paraId="56F96FB8" w14:textId="77777777" w:rsidR="005071A2" w:rsidRDefault="005071A2" w:rsidP="00117CE6">
            <w:r>
              <w:t>This option requires a Windows Trust between the source and target domains or forests.</w:t>
            </w:r>
          </w:p>
          <w:p w14:paraId="3A3FB891" w14:textId="77777777" w:rsidR="005071A2" w:rsidRDefault="005071A2" w:rsidP="00117CE6">
            <w:r>
              <w:t>There is some potential impact with the use of security groups and older versions of Exchange.</w:t>
            </w:r>
          </w:p>
        </w:tc>
      </w:tr>
      <w:tr w:rsidR="005071A2" w14:paraId="752419E7" w14:textId="77777777" w:rsidTr="00117CE6">
        <w:tc>
          <w:tcPr>
            <w:tcW w:w="653" w:type="dxa"/>
            <w:tcMar>
              <w:top w:w="0" w:type="nil"/>
              <w:left w:w="0" w:type="nil"/>
              <w:bottom w:w="0" w:type="nil"/>
              <w:right w:w="0" w:type="nil"/>
            </w:tcMar>
          </w:tcPr>
          <w:p w14:paraId="24D5F4AA" w14:textId="77777777" w:rsidR="005071A2"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3F17EEC1" w14:textId="77777777" w:rsidR="005071A2" w:rsidRDefault="005071A2" w:rsidP="00117CE6">
            <w:r>
              <w:t>Change user logon context</w:t>
            </w:r>
          </w:p>
        </w:tc>
        <w:tc>
          <w:tcPr>
            <w:tcW w:w="7735" w:type="dxa"/>
            <w:tcMar>
              <w:top w:w="0" w:type="nil"/>
              <w:left w:w="0" w:type="nil"/>
              <w:bottom w:w="0" w:type="nil"/>
              <w:right w:w="0" w:type="nil"/>
            </w:tcMar>
          </w:tcPr>
          <w:p w14:paraId="142F4984" w14:textId="77777777" w:rsidR="005071A2" w:rsidRDefault="005071A2" w:rsidP="00117CE6">
            <w:r>
              <w:t>This is when both the user account logon and the mailbox migration occur in the same event, and users logon to the target domain after migration.</w:t>
            </w:r>
          </w:p>
        </w:tc>
      </w:tr>
      <w:tr w:rsidR="005071A2" w14:paraId="272E9F70" w14:textId="77777777" w:rsidTr="00117CE6">
        <w:tc>
          <w:tcPr>
            <w:tcW w:w="653" w:type="dxa"/>
            <w:tcMar>
              <w:top w:w="0" w:type="nil"/>
              <w:left w:w="0" w:type="nil"/>
              <w:bottom w:w="0" w:type="nil"/>
              <w:right w:w="0" w:type="nil"/>
            </w:tcMar>
          </w:tcPr>
          <w:p w14:paraId="0502A1AA" w14:textId="77777777" w:rsidR="005071A2"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5100BC37" w14:textId="77777777" w:rsidR="005071A2" w:rsidRDefault="005071A2" w:rsidP="00117CE6">
            <w:r>
              <w:t>Password Sync while logging in from source domain</w:t>
            </w:r>
          </w:p>
        </w:tc>
        <w:tc>
          <w:tcPr>
            <w:tcW w:w="7735" w:type="dxa"/>
            <w:tcMar>
              <w:top w:w="0" w:type="nil"/>
              <w:left w:w="0" w:type="nil"/>
              <w:bottom w:w="0" w:type="nil"/>
              <w:right w:w="0" w:type="nil"/>
            </w:tcMar>
          </w:tcPr>
          <w:p w14:paraId="2441726F" w14:textId="77777777" w:rsidR="005071A2" w:rsidRDefault="005071A2" w:rsidP="00117CE6">
            <w:r>
              <w:t>Microsoft provides tools and services for synchronizing passwords from a source domain to a target domain.</w:t>
            </w:r>
          </w:p>
          <w:p w14:paraId="7DCFC7BD" w14:textId="77777777" w:rsidR="005071A2" w:rsidRDefault="005071A2" w:rsidP="00117CE6">
            <w:r>
              <w:t>This typically only works if the username is also the same in both environments and an older NTLM authentication mode is allowed in the domain.</w:t>
            </w:r>
          </w:p>
        </w:tc>
      </w:tr>
      <w:tr w:rsidR="005071A2" w14:paraId="390BE3A3" w14:textId="77777777" w:rsidTr="00117CE6">
        <w:tc>
          <w:tcPr>
            <w:tcW w:w="653" w:type="dxa"/>
            <w:tcMar>
              <w:top w:w="0" w:type="nil"/>
              <w:left w:w="0" w:type="nil"/>
              <w:bottom w:w="0" w:type="nil"/>
              <w:right w:w="0" w:type="nil"/>
            </w:tcMar>
          </w:tcPr>
          <w:p w14:paraId="42A7563E" w14:textId="77777777" w:rsidR="005071A2"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28A45819" w14:textId="77777777" w:rsidR="005071A2" w:rsidRDefault="005071A2" w:rsidP="00117CE6">
            <w:r>
              <w:t>Federation Services</w:t>
            </w:r>
          </w:p>
        </w:tc>
        <w:tc>
          <w:tcPr>
            <w:tcW w:w="7735" w:type="dxa"/>
            <w:tcMar>
              <w:top w:w="0" w:type="nil"/>
              <w:left w:w="0" w:type="nil"/>
              <w:bottom w:w="0" w:type="nil"/>
              <w:right w:w="0" w:type="nil"/>
            </w:tcMar>
          </w:tcPr>
          <w:p w14:paraId="43D48D2D" w14:textId="77777777" w:rsidR="005071A2" w:rsidRDefault="005071A2" w:rsidP="00117CE6">
            <w:r>
              <w:t>This is an additional set of Identification Management tools provided by Microsoft that can act as an authentication “bridge” between two separate environments.</w:t>
            </w:r>
          </w:p>
          <w:p w14:paraId="4C38C5DF" w14:textId="77777777" w:rsidR="005071A2" w:rsidRDefault="005071A2" w:rsidP="00117CE6">
            <w:r>
              <w:t>There is a fiscal cost to this set of tools as well as being complicated.</w:t>
            </w:r>
          </w:p>
        </w:tc>
      </w:tr>
      <w:tr w:rsidR="005071A2" w14:paraId="24E826F5" w14:textId="77777777" w:rsidTr="00117CE6">
        <w:tc>
          <w:tcPr>
            <w:tcW w:w="653" w:type="dxa"/>
            <w:tcMar>
              <w:top w:w="0" w:type="nil"/>
              <w:left w:w="0" w:type="nil"/>
              <w:bottom w:w="0" w:type="nil"/>
              <w:right w:w="0" w:type="nil"/>
            </w:tcMar>
          </w:tcPr>
          <w:p w14:paraId="1828C613" w14:textId="77777777" w:rsidR="005071A2"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6F4382EB" w14:textId="77777777" w:rsidR="005071A2" w:rsidRDefault="005071A2" w:rsidP="00117CE6">
            <w:r>
              <w:t>Office 365: Use cloud logon</w:t>
            </w:r>
          </w:p>
        </w:tc>
        <w:tc>
          <w:tcPr>
            <w:tcW w:w="7735" w:type="dxa"/>
            <w:tcMar>
              <w:top w:w="0" w:type="nil"/>
              <w:left w:w="0" w:type="nil"/>
              <w:bottom w:w="0" w:type="nil"/>
              <w:right w:w="0" w:type="nil"/>
            </w:tcMar>
          </w:tcPr>
          <w:p w14:paraId="0C025E2C" w14:textId="77777777" w:rsidR="005071A2" w:rsidRDefault="005071A2" w:rsidP="00117CE6">
            <w:r>
              <w:t>With Windows 8 and Windows 10 operating systems, it is possible to change the primary logon to those systems to use the Office 365 cloud account.</w:t>
            </w:r>
          </w:p>
          <w:p w14:paraId="51E36792" w14:textId="77777777" w:rsidR="005071A2" w:rsidRDefault="005071A2" w:rsidP="00117CE6">
            <w:r>
              <w:t>This provides single-sign-on because the user is logged on as the cloud account before running Outlook.</w:t>
            </w:r>
          </w:p>
          <w:p w14:paraId="1C091E9D" w14:textId="77777777" w:rsidR="005071A2" w:rsidRDefault="005071A2" w:rsidP="00117CE6">
            <w:r>
              <w:t>This only works with Office 365 “cloud only” accounts, meaning they are not synchronized from an on-premises Active Directory environment.</w:t>
            </w:r>
          </w:p>
        </w:tc>
      </w:tr>
    </w:tbl>
    <w:p w14:paraId="792B4823" w14:textId="77777777" w:rsidR="005071A2" w:rsidRDefault="005071A2" w:rsidP="005071A2"/>
    <w:p w14:paraId="0C7B5D54" w14:textId="77777777" w:rsidR="005071A2" w:rsidRDefault="005071A2" w:rsidP="005071A2">
      <w:pPr>
        <w:spacing w:before="0" w:after="0"/>
        <w:rPr>
          <w:rFonts w:asciiTheme="majorHAnsi" w:hAnsiTheme="majorHAnsi"/>
          <w:b/>
          <w:caps/>
          <w:sz w:val="20"/>
        </w:rPr>
      </w:pPr>
      <w:r>
        <w:t xml:space="preserve"> </w:t>
      </w:r>
      <w:r>
        <w:br w:type="page"/>
      </w:r>
    </w:p>
    <w:p w14:paraId="73B827AB" w14:textId="77777777" w:rsidR="003F5A11" w:rsidRDefault="003F5A11" w:rsidP="003F5A11">
      <w:pPr>
        <w:pStyle w:val="Heading2"/>
      </w:pPr>
      <w:r>
        <w:lastRenderedPageBreak/>
        <w:t>Pre-Pilot Testing</w:t>
      </w:r>
    </w:p>
    <w:p w14:paraId="7AD6C840" w14:textId="77777777" w:rsidR="003F5A11" w:rsidRPr="004E67DC" w:rsidRDefault="003F5A11" w:rsidP="003F5A11">
      <w:r>
        <w:t>This step in the process will be used to discuss and provide training on pre-pilot testing exercises.</w:t>
      </w:r>
    </w:p>
    <w:p w14:paraId="1CCD2647" w14:textId="77777777" w:rsidR="003F5A11" w:rsidRDefault="003F5A11" w:rsidP="003F5A11"/>
    <w:p w14:paraId="05424258" w14:textId="77777777" w:rsidR="003F5A11" w:rsidRDefault="003F5A11" w:rsidP="003F5A11">
      <w:r>
        <w:t>Pre-pilot testing has the following elements:</w:t>
      </w:r>
    </w:p>
    <w:p w14:paraId="59F7E78F" w14:textId="77777777" w:rsidR="003F5A11" w:rsidRDefault="003F5A11" w:rsidP="003F5A11">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Test mailboxes only; no real users</w:t>
      </w:r>
    </w:p>
    <w:p w14:paraId="167B3EA1" w14:textId="77777777" w:rsidR="003F5A11" w:rsidRDefault="003F5A11" w:rsidP="003F5A11">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Mailboxes should have features assigned that represent common cases, such as limits or language settings.</w:t>
      </w:r>
    </w:p>
    <w:p w14:paraId="111E6CA0" w14:textId="77777777" w:rsidR="003F5A11" w:rsidRDefault="003F5A11" w:rsidP="003F5A11">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Shared mailboxes, if common in the environment, should also be considered.</w:t>
      </w:r>
    </w:p>
    <w:p w14:paraId="5739EA33" w14:textId="77777777" w:rsidR="003F5A11" w:rsidRDefault="003F5A11" w:rsidP="003F5A11">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Desktops that represent common user deployments</w:t>
      </w:r>
    </w:p>
    <w:p w14:paraId="63DA8995" w14:textId="77777777" w:rsidR="003F5A11" w:rsidRDefault="003F5A11" w:rsidP="003F5A11">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There may be a need for a multiple of such desktops to cover multiple common scenarios or use cases</w:t>
      </w:r>
    </w:p>
    <w:p w14:paraId="51DCF7EA" w14:textId="77777777" w:rsidR="003F5A11" w:rsidRDefault="003F5A11" w:rsidP="003F5A11">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Environments that support different versions of Outlook should have one desktop for each supported version</w:t>
      </w:r>
    </w:p>
    <w:p w14:paraId="251F9D3B" w14:textId="77777777" w:rsidR="003F5A11" w:rsidRDefault="003F5A11" w:rsidP="003F5A11">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Environments that have a mixture of physical and virtual desktops (VDI) should have test desktops for each</w:t>
      </w:r>
    </w:p>
    <w:p w14:paraId="48DFB660" w14:textId="77777777" w:rsidR="003F5A11" w:rsidRDefault="003F5A11" w:rsidP="003F5A11">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Environments where a sufficient percentage of users are disconnected, i.e. working from home or hotel, should also be represented.</w:t>
      </w:r>
    </w:p>
    <w:p w14:paraId="496467D4" w14:textId="77777777" w:rsidR="005071A2" w:rsidRDefault="005071A2" w:rsidP="005071A2">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Mobile clients</w:t>
      </w:r>
    </w:p>
    <w:p w14:paraId="2BEFF986" w14:textId="77777777" w:rsidR="005071A2" w:rsidRDefault="005071A2" w:rsidP="005071A2">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The pre-pilot testing should also be used to expose and work through options and handling of mobile devices and clients</w:t>
      </w:r>
    </w:p>
    <w:p w14:paraId="3044446D" w14:textId="77777777" w:rsidR="005071A2" w:rsidRDefault="005071A2" w:rsidP="005071A2">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Unless the mobile devices are currently managed by an MDM (mobile device management) solution, mobile devices and clients will likely require manual reconfigurations</w:t>
      </w:r>
    </w:p>
    <w:p w14:paraId="4601CCA9" w14:textId="77777777" w:rsidR="005071A2" w:rsidRDefault="005071A2" w:rsidP="005071A2">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The experience of either manual reconfiguration or the use of MDM should be made before any migration of real users.</w:t>
      </w:r>
    </w:p>
    <w:p w14:paraId="4E1538AD" w14:textId="77777777" w:rsidR="005071A2" w:rsidRDefault="005071A2" w:rsidP="005071A2">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Each common mobile client/device should be part of the test, where feasible.</w:t>
      </w:r>
    </w:p>
    <w:p w14:paraId="1F2C110D" w14:textId="77777777" w:rsidR="005071A2" w:rsidRDefault="005071A2" w:rsidP="005071A2">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Mail-flow tests</w:t>
      </w:r>
    </w:p>
    <w:p w14:paraId="7896EF25" w14:textId="77777777" w:rsidR="005071A2" w:rsidRDefault="005071A2" w:rsidP="005071A2">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The pre-pilot testing should also include post-migration mail-flow testing.</w:t>
      </w:r>
    </w:p>
    <w:p w14:paraId="51614CF6" w14:textId="77777777" w:rsidR="005071A2" w:rsidRDefault="005071A2" w:rsidP="005071A2">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This may require the use of some alternate SMTP namespaces used only for testing</w:t>
      </w:r>
    </w:p>
    <w:p w14:paraId="1CD25036" w14:textId="77777777" w:rsidR="000E0F1D" w:rsidRDefault="000E0F1D" w:rsidP="000E0F1D">
      <w:pPr>
        <w:pStyle w:val="ListParagraph"/>
        <w:numPr>
          <w:ilvl w:val="0"/>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Single-Sign-On tests</w:t>
      </w:r>
    </w:p>
    <w:p w14:paraId="4B5BEF19" w14:textId="77777777" w:rsidR="000E0F1D" w:rsidRDefault="000E0F1D" w:rsidP="000E0F1D">
      <w:pPr>
        <w:pStyle w:val="ListParagraph"/>
        <w:numPr>
          <w:ilvl w:val="1"/>
          <w:numId w:val="36"/>
        </w:numPr>
        <w:autoSpaceDE w:val="0"/>
        <w:autoSpaceDN w:val="0"/>
        <w:adjustRightInd w:val="0"/>
        <w:spacing w:before="0" w:after="0"/>
        <w:rPr>
          <w:rFonts w:ascii="MS Shell Dlg 2" w:hAnsi="MS Shell Dlg 2" w:cs="MS Shell Dlg 2"/>
          <w:sz w:val="16"/>
          <w:szCs w:val="16"/>
        </w:rPr>
      </w:pPr>
      <w:r>
        <w:rPr>
          <w:rFonts w:ascii="MS Shell Dlg 2" w:hAnsi="MS Shell Dlg 2" w:cs="MS Shell Dlg 2"/>
          <w:sz w:val="16"/>
          <w:szCs w:val="16"/>
        </w:rPr>
        <w:t>If SSO is a configured element, tests of this should occur matching the SSO strategy previously discussed.</w:t>
      </w:r>
    </w:p>
    <w:p w14:paraId="20F076DD" w14:textId="77777777" w:rsidR="003F5A11" w:rsidRPr="003F5A11" w:rsidRDefault="003F5A11" w:rsidP="003F5A11">
      <w:pPr>
        <w:autoSpaceDE w:val="0"/>
        <w:autoSpaceDN w:val="0"/>
        <w:adjustRightInd w:val="0"/>
        <w:spacing w:before="0" w:after="0"/>
        <w:rPr>
          <w:rFonts w:ascii="MS Shell Dlg 2" w:hAnsi="MS Shell Dlg 2" w:cs="MS Shell Dlg 2"/>
          <w:sz w:val="16"/>
          <w:szCs w:val="16"/>
        </w:rPr>
      </w:pPr>
    </w:p>
    <w:p w14:paraId="440CBB86" w14:textId="77777777" w:rsidR="003F5A11" w:rsidRPr="004E67DC" w:rsidRDefault="003F5A11" w:rsidP="003F5A11">
      <w:pPr>
        <w:autoSpaceDE w:val="0"/>
        <w:autoSpaceDN w:val="0"/>
        <w:adjustRightInd w:val="0"/>
        <w:spacing w:before="0" w:after="0"/>
        <w:rPr>
          <w:rFonts w:ascii="MS Shell Dlg 2" w:hAnsi="MS Shell Dlg 2" w:cs="MS Shell Dlg 2"/>
          <w:sz w:val="16"/>
          <w:szCs w:val="16"/>
        </w:rPr>
      </w:pPr>
    </w:p>
    <w:p w14:paraId="3782E935" w14:textId="77777777" w:rsidR="003F5A11" w:rsidRPr="004E67DC" w:rsidRDefault="003F5A11" w:rsidP="003F5A11">
      <w:pPr>
        <w:autoSpaceDE w:val="0"/>
        <w:autoSpaceDN w:val="0"/>
        <w:adjustRightInd w:val="0"/>
        <w:spacing w:before="0" w:after="0"/>
        <w:rPr>
          <w:rFonts w:ascii="MS Shell Dlg 2" w:hAnsi="MS Shell Dlg 2" w:cs="MS Shell Dlg 2"/>
          <w:color w:val="C00000"/>
          <w:sz w:val="16"/>
          <w:szCs w:val="16"/>
        </w:rPr>
      </w:pPr>
      <w:r>
        <w:rPr>
          <w:rFonts w:ascii="MS Shell Dlg 2" w:hAnsi="MS Shell Dlg 2" w:cs="MS Shell Dlg 2"/>
          <w:color w:val="C00000"/>
          <w:sz w:val="16"/>
          <w:szCs w:val="16"/>
        </w:rPr>
        <w:t xml:space="preserve">NOTE: </w:t>
      </w:r>
      <w:r w:rsidR="005071A2">
        <w:rPr>
          <w:rFonts w:ascii="MS Shell Dlg 2" w:hAnsi="MS Shell Dlg 2" w:cs="MS Shell Dlg 2"/>
          <w:color w:val="C00000"/>
          <w:sz w:val="16"/>
          <w:szCs w:val="16"/>
        </w:rPr>
        <w:t>Priasoft highly recommends that pre-pilot testing always occur at least once in the project</w:t>
      </w:r>
      <w:r>
        <w:rPr>
          <w:rFonts w:ascii="MS Shell Dlg 2" w:hAnsi="MS Shell Dlg 2" w:cs="MS Shell Dlg 2"/>
          <w:color w:val="C00000"/>
          <w:sz w:val="16"/>
          <w:szCs w:val="16"/>
        </w:rPr>
        <w:t>.</w:t>
      </w:r>
    </w:p>
    <w:p w14:paraId="343974D1" w14:textId="77777777" w:rsidR="003F5A11" w:rsidRDefault="003F5A11" w:rsidP="003F5A11">
      <w:pPr>
        <w:autoSpaceDE w:val="0"/>
        <w:autoSpaceDN w:val="0"/>
        <w:adjustRightInd w:val="0"/>
        <w:spacing w:before="0" w:after="0"/>
        <w:rPr>
          <w:rFonts w:ascii="MS Shell Dlg 2" w:hAnsi="MS Shell Dlg 2" w:cs="MS Shell Dlg 2"/>
          <w:sz w:val="16"/>
          <w:szCs w:val="16"/>
        </w:rPr>
      </w:pPr>
    </w:p>
    <w:p w14:paraId="1B43323F" w14:textId="77777777" w:rsidR="003F5A11" w:rsidRPr="00366D88" w:rsidRDefault="003F5A11" w:rsidP="003F5A11">
      <w:pPr>
        <w:autoSpaceDE w:val="0"/>
        <w:autoSpaceDN w:val="0"/>
        <w:adjustRightInd w:val="0"/>
        <w:spacing w:before="0" w:after="0"/>
        <w:rPr>
          <w:rFonts w:ascii="MS Shell Dlg 2" w:hAnsi="MS Shell Dlg 2" w:cs="MS Shell Dlg 2"/>
          <w:sz w:val="16"/>
          <w:szCs w:val="16"/>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53"/>
        <w:gridCol w:w="2402"/>
        <w:gridCol w:w="7735"/>
      </w:tblGrid>
      <w:tr w:rsidR="003F5A11" w14:paraId="0E6EE8D9" w14:textId="77777777" w:rsidTr="00117CE6">
        <w:tc>
          <w:tcPr>
            <w:tcW w:w="10790" w:type="dxa"/>
            <w:gridSpan w:val="3"/>
            <w:shd w:val="clear" w:color="auto" w:fill="DBE5F1" w:themeFill="accent1" w:themeFillTint="33"/>
            <w:tcMar>
              <w:top w:w="0" w:type="nil"/>
              <w:left w:w="0" w:type="nil"/>
              <w:bottom w:w="0" w:type="nil"/>
              <w:right w:w="0" w:type="nil"/>
            </w:tcMar>
          </w:tcPr>
          <w:p w14:paraId="7BEB56D3" w14:textId="77777777" w:rsidR="003F5A11" w:rsidRDefault="000E0F1D" w:rsidP="00117CE6">
            <w:pPr>
              <w:pStyle w:val="Heading2"/>
              <w:tabs>
                <w:tab w:val="left" w:pos="3457"/>
              </w:tabs>
            </w:pPr>
            <w:r>
              <w:t>Pre-Pilot Test</w:t>
            </w:r>
            <w:r w:rsidR="003F5A11">
              <w:t xml:space="preserve"> Execution CHECKLIST </w:t>
            </w:r>
            <w:r w:rsidR="003F5A11" w:rsidRPr="00A974CD">
              <w:rPr>
                <w:sz w:val="24"/>
              </w:rPr>
              <w:tab/>
            </w:r>
            <w:r w:rsidR="003F5A11" w:rsidRPr="00A974CD">
              <w:rPr>
                <w:sz w:val="24"/>
              </w:rPr>
              <w:br/>
            </w:r>
            <w:r w:rsidR="003F5A11">
              <w:rPr>
                <w:b w:val="0"/>
                <w:sz w:val="16"/>
              </w:rPr>
              <w:t>Elements below are presented in the recommended order of operation.</w:t>
            </w:r>
          </w:p>
        </w:tc>
      </w:tr>
      <w:tr w:rsidR="003F5A11" w14:paraId="3C65A5CF" w14:textId="77777777" w:rsidTr="00117CE6">
        <w:tc>
          <w:tcPr>
            <w:tcW w:w="653" w:type="dxa"/>
            <w:tcMar>
              <w:top w:w="0" w:type="nil"/>
              <w:left w:w="0" w:type="nil"/>
              <w:bottom w:w="0" w:type="nil"/>
              <w:right w:w="0" w:type="nil"/>
            </w:tcMar>
          </w:tcPr>
          <w:p w14:paraId="4FE77A9D" w14:textId="77777777" w:rsidR="003F5A11" w:rsidRDefault="003F5A11"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7E57B232" w14:textId="77777777" w:rsidR="003F5A11" w:rsidRDefault="000E0F1D" w:rsidP="00117CE6">
            <w:r>
              <w:t>Discussion and review of pre-pilot testing and purpose</w:t>
            </w:r>
          </w:p>
        </w:tc>
        <w:tc>
          <w:tcPr>
            <w:tcW w:w="7735" w:type="dxa"/>
            <w:tcMar>
              <w:top w:w="0" w:type="nil"/>
              <w:left w:w="0" w:type="nil"/>
              <w:bottom w:w="0" w:type="nil"/>
              <w:right w:w="0" w:type="nil"/>
            </w:tcMar>
          </w:tcPr>
          <w:p w14:paraId="055C2E37" w14:textId="77777777" w:rsidR="003F5A11" w:rsidRDefault="000E0F1D" w:rsidP="000E0F1D">
            <w:r>
              <w:t>Priasoft will lead the discussion on the importance and use of pre-pilot testing.</w:t>
            </w:r>
          </w:p>
        </w:tc>
      </w:tr>
      <w:tr w:rsidR="003F5A11" w14:paraId="51CFEF46" w14:textId="77777777" w:rsidTr="00117CE6">
        <w:tc>
          <w:tcPr>
            <w:tcW w:w="653" w:type="dxa"/>
            <w:tcMar>
              <w:top w:w="0" w:type="nil"/>
              <w:left w:w="0" w:type="nil"/>
              <w:bottom w:w="0" w:type="nil"/>
              <w:right w:w="0" w:type="nil"/>
            </w:tcMar>
          </w:tcPr>
          <w:p w14:paraId="2296C806" w14:textId="77777777" w:rsidR="003F5A11"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0D844F25" w14:textId="77777777" w:rsidR="003F5A11" w:rsidRDefault="000E0F1D" w:rsidP="00117CE6">
            <w:r>
              <w:t>Creation/Selection of test mailbox accounts</w:t>
            </w:r>
          </w:p>
        </w:tc>
        <w:tc>
          <w:tcPr>
            <w:tcW w:w="7735" w:type="dxa"/>
            <w:tcMar>
              <w:top w:w="0" w:type="nil"/>
              <w:left w:w="0" w:type="nil"/>
              <w:bottom w:w="0" w:type="nil"/>
              <w:right w:w="0" w:type="nil"/>
            </w:tcMar>
          </w:tcPr>
          <w:p w14:paraId="27DD046D" w14:textId="77777777" w:rsidR="003F5A11" w:rsidRDefault="003F5A11" w:rsidP="00117CE6">
            <w:r>
              <w:t xml:space="preserve">Priasoft will guide the creation or selection of one or more test mailboxes for use in a </w:t>
            </w:r>
            <w:r w:rsidR="000E0F1D">
              <w:t>pre-pilot test</w:t>
            </w:r>
            <w:r>
              <w:t>.</w:t>
            </w:r>
          </w:p>
          <w:p w14:paraId="64FF9619" w14:textId="77777777" w:rsidR="003F5A11" w:rsidRDefault="003F5A11" w:rsidP="00117CE6">
            <w:r>
              <w:t>Chosen/created mailboxes should be small in size (no more than a few hundred items total per mailbox) so that results and reports can be analyzed quickly.</w:t>
            </w:r>
          </w:p>
          <w:p w14:paraId="3C2E2861" w14:textId="77777777" w:rsidR="000E0F1D" w:rsidRDefault="000E0F1D" w:rsidP="00117CE6">
            <w:r>
              <w:t>Mailboxes should be created with necessary elements to represent common use cases.</w:t>
            </w:r>
          </w:p>
        </w:tc>
      </w:tr>
      <w:tr w:rsidR="003F5A11" w14:paraId="525762B0" w14:textId="77777777" w:rsidTr="00117CE6">
        <w:tc>
          <w:tcPr>
            <w:tcW w:w="653" w:type="dxa"/>
            <w:tcMar>
              <w:top w:w="0" w:type="nil"/>
              <w:left w:w="0" w:type="nil"/>
              <w:bottom w:w="0" w:type="nil"/>
              <w:right w:w="0" w:type="nil"/>
            </w:tcMar>
          </w:tcPr>
          <w:p w14:paraId="311B28B2" w14:textId="77777777" w:rsidR="003F5A11"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79F50D73" w14:textId="77777777" w:rsidR="003F5A11" w:rsidRDefault="000E0F1D" w:rsidP="00117CE6">
            <w:r>
              <w:t>Production migration of test accounts</w:t>
            </w:r>
          </w:p>
        </w:tc>
        <w:tc>
          <w:tcPr>
            <w:tcW w:w="7735" w:type="dxa"/>
            <w:tcMar>
              <w:top w:w="0" w:type="nil"/>
              <w:left w:w="0" w:type="nil"/>
              <w:bottom w:w="0" w:type="nil"/>
              <w:right w:w="0" w:type="nil"/>
            </w:tcMar>
          </w:tcPr>
          <w:p w14:paraId="4911FE58" w14:textId="77777777" w:rsidR="003F5A11" w:rsidRDefault="003F5A11" w:rsidP="000E0F1D">
            <w:r>
              <w:t xml:space="preserve">Priasoft will guide the migration in </w:t>
            </w:r>
            <w:r w:rsidR="000E0F1D">
              <w:t>production</w:t>
            </w:r>
            <w:r>
              <w:t xml:space="preserve"> mode of the test mailboxes.</w:t>
            </w:r>
          </w:p>
        </w:tc>
      </w:tr>
      <w:tr w:rsidR="003F5A11" w14:paraId="4A6FA08D" w14:textId="77777777" w:rsidTr="00117CE6">
        <w:tc>
          <w:tcPr>
            <w:tcW w:w="653" w:type="dxa"/>
            <w:tcMar>
              <w:top w:w="0" w:type="nil"/>
              <w:left w:w="0" w:type="nil"/>
              <w:bottom w:w="0" w:type="nil"/>
              <w:right w:w="0" w:type="nil"/>
            </w:tcMar>
          </w:tcPr>
          <w:p w14:paraId="7D71E947" w14:textId="77777777" w:rsidR="003F5A11"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160F45DA" w14:textId="77777777" w:rsidR="003F5A11" w:rsidRDefault="003F5A11" w:rsidP="00117CE6">
            <w:r>
              <w:t xml:space="preserve">Review of </w:t>
            </w:r>
            <w:r w:rsidR="000E0F1D">
              <w:t xml:space="preserve">migration </w:t>
            </w:r>
            <w:r>
              <w:t>results</w:t>
            </w:r>
          </w:p>
        </w:tc>
        <w:tc>
          <w:tcPr>
            <w:tcW w:w="7735" w:type="dxa"/>
            <w:tcMar>
              <w:top w:w="0" w:type="nil"/>
              <w:left w:w="0" w:type="nil"/>
              <w:bottom w:w="0" w:type="nil"/>
              <w:right w:w="0" w:type="nil"/>
            </w:tcMar>
          </w:tcPr>
          <w:p w14:paraId="62F775D0" w14:textId="77777777" w:rsidR="003F5A11" w:rsidRDefault="003F5A11" w:rsidP="00117CE6">
            <w:r>
              <w:t>Priasoft will provide training on where and what data is produced for reporting and logging.</w:t>
            </w:r>
          </w:p>
        </w:tc>
      </w:tr>
      <w:tr w:rsidR="000E0F1D" w14:paraId="761A1590" w14:textId="77777777" w:rsidTr="00117CE6">
        <w:tc>
          <w:tcPr>
            <w:tcW w:w="653" w:type="dxa"/>
            <w:tcMar>
              <w:top w:w="0" w:type="nil"/>
              <w:left w:w="0" w:type="nil"/>
              <w:bottom w:w="0" w:type="nil"/>
              <w:right w:w="0" w:type="nil"/>
            </w:tcMar>
          </w:tcPr>
          <w:p w14:paraId="376F21F5" w14:textId="77777777" w:rsidR="000E0F1D"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3D767A96" w14:textId="77777777" w:rsidR="000E0F1D" w:rsidRDefault="000E0F1D" w:rsidP="00117CE6">
            <w:r>
              <w:t>Execution of ProfileManager</w:t>
            </w:r>
          </w:p>
        </w:tc>
        <w:tc>
          <w:tcPr>
            <w:tcW w:w="7735" w:type="dxa"/>
            <w:tcMar>
              <w:top w:w="0" w:type="nil"/>
              <w:left w:w="0" w:type="nil"/>
              <w:bottom w:w="0" w:type="nil"/>
              <w:right w:w="0" w:type="nil"/>
            </w:tcMar>
          </w:tcPr>
          <w:p w14:paraId="0549AA62" w14:textId="77777777" w:rsidR="000E0F1D" w:rsidRDefault="000E0F1D" w:rsidP="00117CE6">
            <w:r>
              <w:t>Priasoft will guide and review execution of the ProfileManager application following the migration of the test mailboxes.</w:t>
            </w:r>
          </w:p>
        </w:tc>
      </w:tr>
      <w:tr w:rsidR="000E0F1D" w14:paraId="2F4FE489" w14:textId="77777777" w:rsidTr="00117CE6">
        <w:tc>
          <w:tcPr>
            <w:tcW w:w="653" w:type="dxa"/>
            <w:tcMar>
              <w:top w:w="0" w:type="nil"/>
              <w:left w:w="0" w:type="nil"/>
              <w:bottom w:w="0" w:type="nil"/>
              <w:right w:w="0" w:type="nil"/>
            </w:tcMar>
          </w:tcPr>
          <w:p w14:paraId="61BA3CB5" w14:textId="77777777" w:rsidR="000E0F1D" w:rsidRDefault="006001D2" w:rsidP="00117CE6">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Mar>
              <w:top w:w="0" w:type="nil"/>
              <w:left w:w="0" w:type="nil"/>
              <w:bottom w:w="0" w:type="nil"/>
              <w:right w:w="0" w:type="nil"/>
            </w:tcMar>
          </w:tcPr>
          <w:p w14:paraId="40B7CE49" w14:textId="77777777" w:rsidR="000E0F1D" w:rsidRDefault="000E0F1D" w:rsidP="00117CE6">
            <w:r>
              <w:t>Review of user experience</w:t>
            </w:r>
          </w:p>
        </w:tc>
        <w:tc>
          <w:tcPr>
            <w:tcW w:w="7735" w:type="dxa"/>
            <w:tcMar>
              <w:top w:w="0" w:type="nil"/>
              <w:left w:w="0" w:type="nil"/>
              <w:bottom w:w="0" w:type="nil"/>
              <w:right w:w="0" w:type="nil"/>
            </w:tcMar>
          </w:tcPr>
          <w:p w14:paraId="66719AE3" w14:textId="77777777" w:rsidR="000E0F1D" w:rsidRDefault="000E0F1D" w:rsidP="00117CE6">
            <w:r>
              <w:t>Priasoft will review the user experience on one of the tests to offer guidance or support.</w:t>
            </w:r>
          </w:p>
        </w:tc>
      </w:tr>
    </w:tbl>
    <w:p w14:paraId="26FF2F17" w14:textId="77777777" w:rsidR="003F5A11" w:rsidRDefault="003F5A11" w:rsidP="003F5A11"/>
    <w:p w14:paraId="26BE5E99" w14:textId="77777777" w:rsidR="000E0F1D" w:rsidRDefault="000E0F1D">
      <w:pPr>
        <w:spacing w:before="0" w:after="0"/>
      </w:pPr>
      <w:r>
        <w:br w:type="page"/>
      </w:r>
    </w:p>
    <w:p w14:paraId="703FD3DE" w14:textId="77777777" w:rsidR="000E0F1D" w:rsidRPr="000E0F1D" w:rsidRDefault="000E0F1D" w:rsidP="000E0F1D">
      <w:pPr>
        <w:outlineLvl w:val="1"/>
        <w:rPr>
          <w:rFonts w:asciiTheme="majorHAnsi" w:hAnsiTheme="majorHAnsi"/>
          <w:b/>
          <w:caps/>
          <w:sz w:val="20"/>
        </w:rPr>
      </w:pPr>
      <w:r>
        <w:rPr>
          <w:rFonts w:asciiTheme="majorHAnsi" w:hAnsiTheme="majorHAnsi"/>
          <w:b/>
          <w:caps/>
          <w:sz w:val="20"/>
        </w:rPr>
        <w:lastRenderedPageBreak/>
        <w:t>Batching and Orchestration</w:t>
      </w:r>
    </w:p>
    <w:p w14:paraId="5BAFE601" w14:textId="77777777" w:rsidR="000E0F1D" w:rsidRPr="000E0F1D" w:rsidRDefault="000E0F1D" w:rsidP="000E0F1D">
      <w:r w:rsidRPr="000E0F1D">
        <w:t xml:space="preserve">This step in the process will be used to discuss </w:t>
      </w:r>
      <w:r>
        <w:t>best practices around batching and orchestration of mailbox migrations</w:t>
      </w:r>
      <w:r w:rsidRPr="000E0F1D">
        <w:t>.</w:t>
      </w:r>
    </w:p>
    <w:p w14:paraId="0617A609" w14:textId="77777777" w:rsidR="000E0F1D" w:rsidRPr="000E0F1D" w:rsidRDefault="000E0F1D" w:rsidP="000E0F1D"/>
    <w:p w14:paraId="54494970" w14:textId="77777777" w:rsidR="000E0F1D" w:rsidRPr="000E0F1D" w:rsidRDefault="000E0F1D" w:rsidP="000E0F1D">
      <w:r w:rsidRPr="000E0F1D">
        <w:t xml:space="preserve">The </w:t>
      </w:r>
      <w:r>
        <w:t xml:space="preserve">task covers the following </w:t>
      </w:r>
      <w:r w:rsidRPr="000E0F1D">
        <w:t>elements:</w:t>
      </w:r>
    </w:p>
    <w:p w14:paraId="1A9320EF" w14:textId="77777777" w:rsidR="000E0F1D" w:rsidRPr="000E0F1D" w:rsidRDefault="000E0F1D" w:rsidP="000E0F1D">
      <w:pPr>
        <w:numPr>
          <w:ilvl w:val="0"/>
          <w:numId w:val="36"/>
        </w:numPr>
        <w:autoSpaceDE w:val="0"/>
        <w:autoSpaceDN w:val="0"/>
        <w:adjustRightInd w:val="0"/>
        <w:spacing w:before="0" w:after="0"/>
        <w:contextualSpacing/>
        <w:rPr>
          <w:rFonts w:ascii="MS Shell Dlg 2" w:hAnsi="MS Shell Dlg 2" w:cs="MS Shell Dlg 2"/>
          <w:sz w:val="16"/>
          <w:szCs w:val="16"/>
        </w:rPr>
      </w:pPr>
      <w:r>
        <w:rPr>
          <w:rFonts w:ascii="MS Shell Dlg 2" w:hAnsi="MS Shell Dlg 2" w:cs="MS Shell Dlg 2"/>
          <w:sz w:val="16"/>
          <w:szCs w:val="16"/>
        </w:rPr>
        <w:t>Order of mailboxes</w:t>
      </w:r>
    </w:p>
    <w:p w14:paraId="19634319" w14:textId="77777777" w:rsidR="000E0F1D" w:rsidRPr="000E0F1D" w:rsidRDefault="000E0F1D" w:rsidP="000E0F1D">
      <w:pPr>
        <w:numPr>
          <w:ilvl w:val="0"/>
          <w:numId w:val="36"/>
        </w:numPr>
        <w:autoSpaceDE w:val="0"/>
        <w:autoSpaceDN w:val="0"/>
        <w:adjustRightInd w:val="0"/>
        <w:spacing w:before="0" w:after="0"/>
        <w:contextualSpacing/>
        <w:rPr>
          <w:rFonts w:ascii="MS Shell Dlg 2" w:hAnsi="MS Shell Dlg 2" w:cs="MS Shell Dlg 2"/>
          <w:sz w:val="16"/>
          <w:szCs w:val="16"/>
        </w:rPr>
      </w:pPr>
      <w:r>
        <w:rPr>
          <w:rFonts w:ascii="MS Shell Dlg 2" w:hAnsi="MS Shell Dlg 2" w:cs="MS Shell Dlg 2"/>
          <w:sz w:val="16"/>
          <w:szCs w:val="16"/>
        </w:rPr>
        <w:t>Use of VIP option</w:t>
      </w:r>
    </w:p>
    <w:p w14:paraId="1011DA7F" w14:textId="77777777" w:rsidR="000E0F1D" w:rsidRPr="000E0F1D" w:rsidRDefault="000E0F1D" w:rsidP="000E0F1D">
      <w:pPr>
        <w:numPr>
          <w:ilvl w:val="0"/>
          <w:numId w:val="36"/>
        </w:numPr>
        <w:autoSpaceDE w:val="0"/>
        <w:autoSpaceDN w:val="0"/>
        <w:adjustRightInd w:val="0"/>
        <w:spacing w:before="0" w:after="0"/>
        <w:contextualSpacing/>
        <w:rPr>
          <w:rFonts w:ascii="MS Shell Dlg 2" w:hAnsi="MS Shell Dlg 2" w:cs="MS Shell Dlg 2"/>
          <w:sz w:val="16"/>
          <w:szCs w:val="16"/>
        </w:rPr>
      </w:pPr>
      <w:r>
        <w:rPr>
          <w:rFonts w:ascii="MS Shell Dlg 2" w:hAnsi="MS Shell Dlg 2" w:cs="MS Shell Dlg 2"/>
          <w:sz w:val="16"/>
          <w:szCs w:val="16"/>
        </w:rPr>
        <w:t>Shared and non-user mailboxes</w:t>
      </w:r>
    </w:p>
    <w:p w14:paraId="17F7E765" w14:textId="77777777" w:rsidR="000E0F1D" w:rsidRDefault="000E0F1D" w:rsidP="000E0F1D">
      <w:pPr>
        <w:numPr>
          <w:ilvl w:val="0"/>
          <w:numId w:val="36"/>
        </w:numPr>
        <w:autoSpaceDE w:val="0"/>
        <w:autoSpaceDN w:val="0"/>
        <w:adjustRightInd w:val="0"/>
        <w:spacing w:before="0" w:after="0"/>
        <w:contextualSpacing/>
        <w:rPr>
          <w:rFonts w:ascii="MS Shell Dlg 2" w:hAnsi="MS Shell Dlg 2" w:cs="MS Shell Dlg 2"/>
          <w:sz w:val="16"/>
          <w:szCs w:val="16"/>
        </w:rPr>
      </w:pPr>
      <w:r>
        <w:rPr>
          <w:rFonts w:ascii="MS Shell Dlg 2" w:hAnsi="MS Shell Dlg 2" w:cs="MS Shell Dlg 2"/>
          <w:sz w:val="16"/>
          <w:szCs w:val="16"/>
        </w:rPr>
        <w:t>Use of dry-run metrics</w:t>
      </w:r>
    </w:p>
    <w:p w14:paraId="1C74DC72" w14:textId="77777777" w:rsidR="000E0F1D" w:rsidRPr="000E0F1D" w:rsidRDefault="000E0F1D" w:rsidP="000E0F1D">
      <w:pPr>
        <w:numPr>
          <w:ilvl w:val="0"/>
          <w:numId w:val="36"/>
        </w:numPr>
        <w:autoSpaceDE w:val="0"/>
        <w:autoSpaceDN w:val="0"/>
        <w:adjustRightInd w:val="0"/>
        <w:spacing w:before="0" w:after="0"/>
        <w:contextualSpacing/>
        <w:rPr>
          <w:rFonts w:ascii="MS Shell Dlg 2" w:hAnsi="MS Shell Dlg 2" w:cs="MS Shell Dlg 2"/>
          <w:sz w:val="16"/>
          <w:szCs w:val="16"/>
        </w:rPr>
      </w:pPr>
      <w:r>
        <w:rPr>
          <w:rFonts w:ascii="MS Shell Dlg 2" w:hAnsi="MS Shell Dlg 2" w:cs="MS Shell Dlg 2"/>
          <w:sz w:val="16"/>
          <w:szCs w:val="16"/>
        </w:rPr>
        <w:t>Optional use of scripting events to create atomic processes triggered by migration</w:t>
      </w:r>
    </w:p>
    <w:p w14:paraId="4A39B138" w14:textId="77777777" w:rsidR="000E0F1D" w:rsidRPr="000E0F1D" w:rsidRDefault="000E0F1D" w:rsidP="000E0F1D">
      <w:pPr>
        <w:autoSpaceDE w:val="0"/>
        <w:autoSpaceDN w:val="0"/>
        <w:adjustRightInd w:val="0"/>
        <w:spacing w:before="0" w:after="0"/>
        <w:rPr>
          <w:rFonts w:ascii="MS Shell Dlg 2" w:hAnsi="MS Shell Dlg 2" w:cs="MS Shell Dlg 2"/>
          <w:sz w:val="16"/>
          <w:szCs w:val="16"/>
        </w:rPr>
      </w:pPr>
    </w:p>
    <w:p w14:paraId="225086D7" w14:textId="77777777" w:rsidR="000E0F1D" w:rsidRPr="000E0F1D" w:rsidRDefault="000E0F1D" w:rsidP="000E0F1D">
      <w:pPr>
        <w:autoSpaceDE w:val="0"/>
        <w:autoSpaceDN w:val="0"/>
        <w:adjustRightInd w:val="0"/>
        <w:spacing w:before="0" w:after="0"/>
        <w:rPr>
          <w:rFonts w:ascii="MS Shell Dlg 2" w:hAnsi="MS Shell Dlg 2" w:cs="MS Shell Dlg 2"/>
          <w:color w:val="C00000"/>
          <w:sz w:val="16"/>
          <w:szCs w:val="16"/>
        </w:rPr>
      </w:pPr>
      <w:r w:rsidRPr="000E0F1D">
        <w:rPr>
          <w:rFonts w:ascii="MS Shell Dlg 2" w:hAnsi="MS Shell Dlg 2" w:cs="MS Shell Dlg 2"/>
          <w:color w:val="C00000"/>
          <w:sz w:val="16"/>
          <w:szCs w:val="16"/>
        </w:rPr>
        <w:t xml:space="preserve">NOTE: </w:t>
      </w:r>
      <w:r>
        <w:rPr>
          <w:rFonts w:ascii="MS Shell Dlg 2" w:hAnsi="MS Shell Dlg 2" w:cs="MS Shell Dlg 2"/>
          <w:color w:val="C00000"/>
          <w:sz w:val="16"/>
          <w:szCs w:val="16"/>
        </w:rPr>
        <w:t>This task should not be started except for mailboxes that have completed successfully, at least once, in dry-run mode</w:t>
      </w:r>
      <w:r w:rsidRPr="000E0F1D">
        <w:rPr>
          <w:rFonts w:ascii="MS Shell Dlg 2" w:hAnsi="MS Shell Dlg 2" w:cs="MS Shell Dlg 2"/>
          <w:color w:val="C00000"/>
          <w:sz w:val="16"/>
          <w:szCs w:val="16"/>
        </w:rPr>
        <w:t>.</w:t>
      </w:r>
      <w:r>
        <w:rPr>
          <w:rFonts w:ascii="MS Shell Dlg 2" w:hAnsi="MS Shell Dlg 2" w:cs="MS Shell Dlg 2"/>
          <w:color w:val="C00000"/>
          <w:sz w:val="16"/>
          <w:szCs w:val="16"/>
        </w:rPr>
        <w:t xml:space="preserve">  Dry-run metrics are fundamental for this task.</w:t>
      </w:r>
    </w:p>
    <w:p w14:paraId="0651A340" w14:textId="77777777" w:rsidR="000E0F1D" w:rsidRPr="000E0F1D" w:rsidRDefault="000E0F1D" w:rsidP="000E0F1D">
      <w:pPr>
        <w:autoSpaceDE w:val="0"/>
        <w:autoSpaceDN w:val="0"/>
        <w:adjustRightInd w:val="0"/>
        <w:spacing w:before="0" w:after="0"/>
        <w:rPr>
          <w:rFonts w:ascii="MS Shell Dlg 2" w:hAnsi="MS Shell Dlg 2" w:cs="MS Shell Dlg 2"/>
          <w:sz w:val="16"/>
          <w:szCs w:val="16"/>
        </w:rPr>
      </w:pPr>
    </w:p>
    <w:p w14:paraId="04F08A1F" w14:textId="77777777" w:rsidR="000E0F1D" w:rsidRPr="000E0F1D" w:rsidRDefault="000E0F1D" w:rsidP="000E0F1D">
      <w:pPr>
        <w:autoSpaceDE w:val="0"/>
        <w:autoSpaceDN w:val="0"/>
        <w:adjustRightInd w:val="0"/>
        <w:spacing w:before="0" w:after="0"/>
        <w:rPr>
          <w:rFonts w:ascii="MS Shell Dlg 2" w:hAnsi="MS Shell Dlg 2" w:cs="MS Shell Dlg 2"/>
          <w:sz w:val="16"/>
          <w:szCs w:val="16"/>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53"/>
        <w:gridCol w:w="2402"/>
        <w:gridCol w:w="7735"/>
      </w:tblGrid>
      <w:tr w:rsidR="000E0F1D" w:rsidRPr="000E0F1D" w14:paraId="71050DAA" w14:textId="77777777" w:rsidTr="00117CE6">
        <w:tc>
          <w:tcPr>
            <w:tcW w:w="10790" w:type="dxa"/>
            <w:gridSpan w:val="3"/>
            <w:shd w:val="clear" w:color="auto" w:fill="DBE5F1" w:themeFill="accent1" w:themeFillTint="33"/>
          </w:tcPr>
          <w:p w14:paraId="1AEF7FC3" w14:textId="77777777" w:rsidR="000E0F1D" w:rsidRPr="000E0F1D" w:rsidRDefault="000E0F1D" w:rsidP="000E0F1D">
            <w:pPr>
              <w:tabs>
                <w:tab w:val="left" w:pos="3457"/>
              </w:tabs>
              <w:outlineLvl w:val="1"/>
              <w:rPr>
                <w:rFonts w:asciiTheme="majorHAnsi" w:hAnsiTheme="majorHAnsi"/>
                <w:b/>
                <w:caps/>
                <w:sz w:val="20"/>
              </w:rPr>
            </w:pPr>
            <w:r>
              <w:rPr>
                <w:rFonts w:asciiTheme="majorHAnsi" w:hAnsiTheme="majorHAnsi"/>
                <w:b/>
                <w:caps/>
                <w:sz w:val="20"/>
              </w:rPr>
              <w:t>Batching and Orchestration</w:t>
            </w:r>
            <w:r w:rsidRPr="000E0F1D">
              <w:rPr>
                <w:rFonts w:asciiTheme="majorHAnsi" w:hAnsiTheme="majorHAnsi"/>
                <w:b/>
                <w:caps/>
                <w:sz w:val="20"/>
              </w:rPr>
              <w:t xml:space="preserve"> CHECKLIST </w:t>
            </w:r>
            <w:r w:rsidRPr="000E0F1D">
              <w:rPr>
                <w:rFonts w:asciiTheme="majorHAnsi" w:hAnsiTheme="majorHAnsi"/>
                <w:b/>
                <w:caps/>
                <w:sz w:val="24"/>
              </w:rPr>
              <w:tab/>
            </w:r>
            <w:r w:rsidRPr="000E0F1D">
              <w:rPr>
                <w:rFonts w:asciiTheme="majorHAnsi" w:hAnsiTheme="majorHAnsi"/>
                <w:b/>
                <w:caps/>
                <w:sz w:val="24"/>
              </w:rPr>
              <w:br/>
            </w:r>
            <w:r w:rsidRPr="000E0F1D">
              <w:rPr>
                <w:rFonts w:asciiTheme="majorHAnsi" w:hAnsiTheme="majorHAnsi"/>
                <w:caps/>
                <w:sz w:val="16"/>
              </w:rPr>
              <w:t>Elements below are presented in the recommended order of operation.</w:t>
            </w:r>
          </w:p>
        </w:tc>
      </w:tr>
      <w:tr w:rsidR="000E0F1D" w:rsidRPr="000E0F1D" w14:paraId="293B2021" w14:textId="77777777" w:rsidTr="00117CE6">
        <w:tc>
          <w:tcPr>
            <w:tcW w:w="653" w:type="dxa"/>
          </w:tcPr>
          <w:p w14:paraId="69EA2AF1" w14:textId="77777777" w:rsidR="000E0F1D" w:rsidRPr="000E0F1D" w:rsidRDefault="000E0F1D" w:rsidP="000E0F1D">
            <w:r w:rsidRPr="000E0F1D">
              <w:fldChar w:fldCharType="begin">
                <w:ffData>
                  <w:name w:val="Check1"/>
                  <w:enabled/>
                  <w:calcOnExit w:val="0"/>
                  <w:checkBox>
                    <w:sizeAuto/>
                    <w:default w:val="0"/>
                  </w:checkBox>
                </w:ffData>
              </w:fldChar>
            </w:r>
            <w:r w:rsidRPr="000E0F1D">
              <w:instrText xml:space="preserve"> FORMCHECKBOX </w:instrText>
            </w:r>
            <w:r w:rsidR="00E97EBD">
              <w:fldChar w:fldCharType="separate"/>
            </w:r>
            <w:r w:rsidRPr="000E0F1D">
              <w:fldChar w:fldCharType="end"/>
            </w:r>
          </w:p>
        </w:tc>
        <w:tc>
          <w:tcPr>
            <w:tcW w:w="2402" w:type="dxa"/>
          </w:tcPr>
          <w:p w14:paraId="577E46E0" w14:textId="77777777" w:rsidR="000E0F1D" w:rsidRPr="000E0F1D" w:rsidRDefault="000E0F1D" w:rsidP="000E0F1D">
            <w:r>
              <w:t>Discussion of key elements</w:t>
            </w:r>
          </w:p>
        </w:tc>
        <w:tc>
          <w:tcPr>
            <w:tcW w:w="7735" w:type="dxa"/>
          </w:tcPr>
          <w:p w14:paraId="2271EBB9" w14:textId="77777777" w:rsidR="000E0F1D" w:rsidRDefault="000E0F1D" w:rsidP="000E0F1D">
            <w:pPr>
              <w:contextualSpacing/>
            </w:pPr>
            <w:r>
              <w:t>Priasoft will lead the discussion around the key elements to consider for this task:</w:t>
            </w:r>
          </w:p>
          <w:p w14:paraId="076CE4B6" w14:textId="77777777" w:rsidR="000E0F1D" w:rsidRDefault="000E0F1D" w:rsidP="000E0F1D">
            <w:pPr>
              <w:pStyle w:val="ListParagraph"/>
              <w:numPr>
                <w:ilvl w:val="0"/>
                <w:numId w:val="36"/>
              </w:numPr>
            </w:pPr>
            <w:r>
              <w:t>Ordering:  which mailboxes to migrate first, how to determine</w:t>
            </w:r>
          </w:p>
          <w:p w14:paraId="778EDF0C" w14:textId="77777777" w:rsidR="000E0F1D" w:rsidRDefault="000E0F1D" w:rsidP="000E0F1D">
            <w:pPr>
              <w:pStyle w:val="ListParagraph"/>
              <w:numPr>
                <w:ilvl w:val="0"/>
                <w:numId w:val="36"/>
              </w:numPr>
            </w:pPr>
            <w:r>
              <w:t>VIP use:  prioritizing mailboxes in a batch</w:t>
            </w:r>
          </w:p>
          <w:p w14:paraId="3F0FD3C2" w14:textId="77777777" w:rsidR="000E0F1D" w:rsidRDefault="000E0F1D" w:rsidP="000E0F1D">
            <w:pPr>
              <w:pStyle w:val="ListParagraph"/>
              <w:numPr>
                <w:ilvl w:val="0"/>
                <w:numId w:val="36"/>
              </w:numPr>
            </w:pPr>
            <w:r>
              <w:t>Use of multiple migration hosts</w:t>
            </w:r>
          </w:p>
          <w:p w14:paraId="5D3B91D1" w14:textId="77777777" w:rsidR="000E0F1D" w:rsidRDefault="000E0F1D" w:rsidP="000E0F1D">
            <w:pPr>
              <w:pStyle w:val="ListParagraph"/>
              <w:numPr>
                <w:ilvl w:val="0"/>
                <w:numId w:val="36"/>
              </w:numPr>
            </w:pPr>
            <w:r>
              <w:t>Using metrics from dry-run exercises to determine batch size and mailbox categorization</w:t>
            </w:r>
          </w:p>
          <w:p w14:paraId="5155DEAF" w14:textId="77777777" w:rsidR="000E0F1D" w:rsidRDefault="000E0F1D" w:rsidP="000E0F1D">
            <w:pPr>
              <w:pStyle w:val="ListParagraph"/>
              <w:numPr>
                <w:ilvl w:val="0"/>
                <w:numId w:val="36"/>
              </w:numPr>
            </w:pPr>
            <w:r>
              <w:t>Handling of very large mailboxes</w:t>
            </w:r>
          </w:p>
          <w:p w14:paraId="664CBEA8" w14:textId="77777777" w:rsidR="000E0F1D" w:rsidRPr="000E0F1D" w:rsidRDefault="000E0F1D" w:rsidP="000E0F1D">
            <w:pPr>
              <w:pStyle w:val="ListParagraph"/>
              <w:numPr>
                <w:ilvl w:val="0"/>
                <w:numId w:val="36"/>
              </w:numPr>
            </w:pPr>
            <w:r>
              <w:t>Use of the 2-pass option to control time</w:t>
            </w:r>
          </w:p>
        </w:tc>
      </w:tr>
      <w:tr w:rsidR="000E0F1D" w:rsidRPr="000E0F1D" w14:paraId="268FBFAA" w14:textId="77777777" w:rsidTr="00117CE6">
        <w:tc>
          <w:tcPr>
            <w:tcW w:w="653" w:type="dxa"/>
          </w:tcPr>
          <w:p w14:paraId="5C4C5772" w14:textId="77777777" w:rsidR="000E0F1D" w:rsidRPr="000E0F1D" w:rsidRDefault="006001D2" w:rsidP="000E0F1D">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Pr>
          <w:p w14:paraId="77C398DC" w14:textId="77777777" w:rsidR="000E0F1D" w:rsidRPr="000E0F1D" w:rsidRDefault="00F91153" w:rsidP="00F91153">
            <w:r>
              <w:t xml:space="preserve">Determine </w:t>
            </w:r>
            <w:r w:rsidR="000E0F1D">
              <w:t xml:space="preserve">of use of Single-Event or </w:t>
            </w:r>
            <w:r>
              <w:br/>
            </w:r>
            <w:r w:rsidR="000E0F1D">
              <w:t>Multi-Event migration pattern</w:t>
            </w:r>
          </w:p>
        </w:tc>
        <w:tc>
          <w:tcPr>
            <w:tcW w:w="7735" w:type="dxa"/>
          </w:tcPr>
          <w:p w14:paraId="25CC3812" w14:textId="77777777" w:rsidR="000E0F1D" w:rsidRPr="000E0F1D" w:rsidRDefault="000E0F1D" w:rsidP="000E0F1D">
            <w:r>
              <w:t>Priasoft will guide the discussion to help determine the overall migration pattern.</w:t>
            </w:r>
          </w:p>
        </w:tc>
      </w:tr>
      <w:tr w:rsidR="000E0F1D" w:rsidRPr="000E0F1D" w14:paraId="25776DF4" w14:textId="77777777" w:rsidTr="00117CE6">
        <w:tc>
          <w:tcPr>
            <w:tcW w:w="653" w:type="dxa"/>
          </w:tcPr>
          <w:p w14:paraId="73B8AE47" w14:textId="77777777" w:rsidR="000E0F1D" w:rsidRPr="000E0F1D" w:rsidRDefault="006001D2" w:rsidP="000E0F1D">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Pr>
          <w:p w14:paraId="0F02CB9D" w14:textId="77777777" w:rsidR="000E0F1D" w:rsidRPr="000E0F1D" w:rsidRDefault="000E0F1D" w:rsidP="000E0F1D">
            <w:r>
              <w:t>Mailbox Categorization</w:t>
            </w:r>
          </w:p>
        </w:tc>
        <w:tc>
          <w:tcPr>
            <w:tcW w:w="7735" w:type="dxa"/>
          </w:tcPr>
          <w:p w14:paraId="7949F636" w14:textId="77777777" w:rsidR="000E0F1D" w:rsidRPr="000E0F1D" w:rsidRDefault="000E0F1D" w:rsidP="000E0F1D">
            <w:r>
              <w:t>A discussion and introduction to the concept of mailbox categorization.</w:t>
            </w:r>
          </w:p>
        </w:tc>
      </w:tr>
      <w:tr w:rsidR="000E0F1D" w:rsidRPr="000E0F1D" w14:paraId="6929078B" w14:textId="77777777" w:rsidTr="00117CE6">
        <w:tc>
          <w:tcPr>
            <w:tcW w:w="653" w:type="dxa"/>
          </w:tcPr>
          <w:p w14:paraId="71C1F8B0" w14:textId="77777777" w:rsidR="000E0F1D" w:rsidRPr="000E0F1D" w:rsidRDefault="006001D2" w:rsidP="000E0F1D">
            <w:r>
              <w:fldChar w:fldCharType="begin">
                <w:ffData>
                  <w:name w:val="Check1"/>
                  <w:enabled/>
                  <w:calcOnExit w:val="0"/>
                  <w:checkBox>
                    <w:sizeAuto/>
                    <w:default w:val="0"/>
                  </w:checkBox>
                </w:ffData>
              </w:fldChar>
            </w:r>
            <w:r>
              <w:instrText xml:space="preserve"> FORMCHECKBOX </w:instrText>
            </w:r>
            <w:r w:rsidR="00E97EBD">
              <w:fldChar w:fldCharType="separate"/>
            </w:r>
            <w:r>
              <w:fldChar w:fldCharType="end"/>
            </w:r>
          </w:p>
        </w:tc>
        <w:tc>
          <w:tcPr>
            <w:tcW w:w="2402" w:type="dxa"/>
          </w:tcPr>
          <w:p w14:paraId="396E69FB" w14:textId="77777777" w:rsidR="000E0F1D" w:rsidRPr="000E0F1D" w:rsidRDefault="000E0F1D" w:rsidP="000E0F1D">
            <w:r>
              <w:t>Scripting</w:t>
            </w:r>
          </w:p>
        </w:tc>
        <w:tc>
          <w:tcPr>
            <w:tcW w:w="7735" w:type="dxa"/>
          </w:tcPr>
          <w:p w14:paraId="5BE48757" w14:textId="77777777" w:rsidR="000E0F1D" w:rsidRPr="000E0F1D" w:rsidRDefault="000E0F1D" w:rsidP="000E0F1D">
            <w:r>
              <w:t>A discussion on how and why customers use the scripting events to add function to the migration.</w:t>
            </w:r>
          </w:p>
        </w:tc>
      </w:tr>
    </w:tbl>
    <w:p w14:paraId="661351C2" w14:textId="77777777" w:rsidR="000E0F1D" w:rsidRPr="000E0F1D" w:rsidRDefault="000E0F1D" w:rsidP="000E0F1D"/>
    <w:p w14:paraId="0E347FC2" w14:textId="77777777" w:rsidR="00F91153" w:rsidRDefault="00F91153">
      <w:pPr>
        <w:spacing w:before="0" w:after="0"/>
      </w:pPr>
      <w:r>
        <w:br w:type="page"/>
      </w:r>
    </w:p>
    <w:p w14:paraId="0F15E7C2" w14:textId="77777777" w:rsidR="00F91153" w:rsidRPr="000E0F1D" w:rsidRDefault="00F91153" w:rsidP="00F91153">
      <w:pPr>
        <w:outlineLvl w:val="1"/>
        <w:rPr>
          <w:rFonts w:asciiTheme="majorHAnsi" w:hAnsiTheme="majorHAnsi"/>
          <w:b/>
          <w:caps/>
          <w:sz w:val="20"/>
        </w:rPr>
      </w:pPr>
      <w:r>
        <w:rPr>
          <w:rFonts w:asciiTheme="majorHAnsi" w:hAnsiTheme="majorHAnsi"/>
          <w:b/>
          <w:caps/>
          <w:sz w:val="20"/>
        </w:rPr>
        <w:lastRenderedPageBreak/>
        <w:t>Scheduling</w:t>
      </w:r>
    </w:p>
    <w:p w14:paraId="5668AC61" w14:textId="77777777" w:rsidR="00F91153" w:rsidRPr="000E0F1D" w:rsidRDefault="00F91153" w:rsidP="00F91153">
      <w:r w:rsidRPr="000E0F1D">
        <w:t xml:space="preserve">This step in the process will be used to discuss </w:t>
      </w:r>
      <w:r>
        <w:t>best practices around scheduling of a production migration event</w:t>
      </w:r>
      <w:r w:rsidRPr="000E0F1D">
        <w:t>.</w:t>
      </w:r>
    </w:p>
    <w:p w14:paraId="08A9FA34" w14:textId="77777777" w:rsidR="00F91153" w:rsidRPr="000E0F1D" w:rsidRDefault="00F91153" w:rsidP="00F91153"/>
    <w:p w14:paraId="7BF0651E" w14:textId="77777777" w:rsidR="00F91153" w:rsidRPr="000E0F1D" w:rsidRDefault="00F91153" w:rsidP="00F91153">
      <w:r w:rsidRPr="000E0F1D">
        <w:t xml:space="preserve">The </w:t>
      </w:r>
      <w:r>
        <w:t xml:space="preserve">task covers the following </w:t>
      </w:r>
      <w:r w:rsidRPr="000E0F1D">
        <w:t>elements:</w:t>
      </w:r>
    </w:p>
    <w:p w14:paraId="506433FF" w14:textId="77777777" w:rsidR="00F91153" w:rsidRPr="000E0F1D" w:rsidRDefault="00F91153" w:rsidP="00F91153">
      <w:pPr>
        <w:numPr>
          <w:ilvl w:val="0"/>
          <w:numId w:val="36"/>
        </w:numPr>
        <w:autoSpaceDE w:val="0"/>
        <w:autoSpaceDN w:val="0"/>
        <w:adjustRightInd w:val="0"/>
        <w:spacing w:before="0" w:after="0"/>
        <w:contextualSpacing/>
        <w:rPr>
          <w:rFonts w:ascii="MS Shell Dlg 2" w:hAnsi="MS Shell Dlg 2" w:cs="MS Shell Dlg 2"/>
          <w:sz w:val="16"/>
          <w:szCs w:val="16"/>
        </w:rPr>
      </w:pPr>
      <w:r>
        <w:rPr>
          <w:rFonts w:ascii="MS Shell Dlg 2" w:hAnsi="MS Shell Dlg 2" w:cs="MS Shell Dlg 2"/>
          <w:sz w:val="16"/>
          <w:szCs w:val="16"/>
        </w:rPr>
        <w:t>Impact of time-of-day choice</w:t>
      </w:r>
    </w:p>
    <w:p w14:paraId="2F2BA078" w14:textId="77777777" w:rsidR="00F91153" w:rsidRPr="000E0F1D" w:rsidRDefault="00F91153" w:rsidP="00F91153">
      <w:pPr>
        <w:numPr>
          <w:ilvl w:val="0"/>
          <w:numId w:val="36"/>
        </w:numPr>
        <w:autoSpaceDE w:val="0"/>
        <w:autoSpaceDN w:val="0"/>
        <w:adjustRightInd w:val="0"/>
        <w:spacing w:before="0" w:after="0"/>
        <w:contextualSpacing/>
        <w:rPr>
          <w:rFonts w:ascii="MS Shell Dlg 2" w:hAnsi="MS Shell Dlg 2" w:cs="MS Shell Dlg 2"/>
          <w:sz w:val="16"/>
          <w:szCs w:val="16"/>
        </w:rPr>
      </w:pPr>
      <w:r>
        <w:rPr>
          <w:rFonts w:ascii="MS Shell Dlg 2" w:hAnsi="MS Shell Dlg 2" w:cs="MS Shell Dlg 2"/>
          <w:sz w:val="16"/>
          <w:szCs w:val="16"/>
        </w:rPr>
        <w:t>Consideration of other in-use elements in an environment</w:t>
      </w:r>
    </w:p>
    <w:p w14:paraId="37B7E579" w14:textId="77777777" w:rsidR="00F91153" w:rsidRPr="000E0F1D" w:rsidRDefault="00F91153" w:rsidP="00F91153">
      <w:pPr>
        <w:numPr>
          <w:ilvl w:val="0"/>
          <w:numId w:val="36"/>
        </w:numPr>
        <w:autoSpaceDE w:val="0"/>
        <w:autoSpaceDN w:val="0"/>
        <w:adjustRightInd w:val="0"/>
        <w:spacing w:before="0" w:after="0"/>
        <w:contextualSpacing/>
        <w:rPr>
          <w:rFonts w:ascii="MS Shell Dlg 2" w:hAnsi="MS Shell Dlg 2" w:cs="MS Shell Dlg 2"/>
          <w:sz w:val="16"/>
          <w:szCs w:val="16"/>
        </w:rPr>
      </w:pPr>
      <w:r>
        <w:rPr>
          <w:rFonts w:ascii="MS Shell Dlg 2" w:hAnsi="MS Shell Dlg 2" w:cs="MS Shell Dlg 2"/>
          <w:sz w:val="16"/>
          <w:szCs w:val="16"/>
        </w:rPr>
        <w:t>Overlaps with other calendar events in the business</w:t>
      </w:r>
    </w:p>
    <w:p w14:paraId="24EB308B" w14:textId="77777777" w:rsidR="00F91153" w:rsidRDefault="00F91153" w:rsidP="00F91153">
      <w:pPr>
        <w:numPr>
          <w:ilvl w:val="0"/>
          <w:numId w:val="36"/>
        </w:numPr>
        <w:autoSpaceDE w:val="0"/>
        <w:autoSpaceDN w:val="0"/>
        <w:adjustRightInd w:val="0"/>
        <w:spacing w:before="0" w:after="0"/>
        <w:contextualSpacing/>
        <w:rPr>
          <w:rFonts w:ascii="MS Shell Dlg 2" w:hAnsi="MS Shell Dlg 2" w:cs="MS Shell Dlg 2"/>
          <w:sz w:val="16"/>
          <w:szCs w:val="16"/>
        </w:rPr>
      </w:pPr>
      <w:r>
        <w:rPr>
          <w:rFonts w:ascii="MS Shell Dlg 2" w:hAnsi="MS Shell Dlg 2" w:cs="MS Shell Dlg 2"/>
          <w:sz w:val="16"/>
          <w:szCs w:val="16"/>
        </w:rPr>
        <w:t>Support desk resources</w:t>
      </w:r>
    </w:p>
    <w:p w14:paraId="6DB21950" w14:textId="77777777" w:rsidR="00F91153" w:rsidRPr="000E0F1D" w:rsidRDefault="00F91153" w:rsidP="00F91153">
      <w:pPr>
        <w:autoSpaceDE w:val="0"/>
        <w:autoSpaceDN w:val="0"/>
        <w:adjustRightInd w:val="0"/>
        <w:spacing w:before="0" w:after="0"/>
        <w:rPr>
          <w:rFonts w:ascii="MS Shell Dlg 2" w:hAnsi="MS Shell Dlg 2" w:cs="MS Shell Dlg 2"/>
          <w:sz w:val="16"/>
          <w:szCs w:val="16"/>
        </w:rPr>
      </w:pPr>
    </w:p>
    <w:p w14:paraId="64820394" w14:textId="77777777" w:rsidR="00F91153" w:rsidRPr="000E0F1D" w:rsidRDefault="00F91153" w:rsidP="00F91153">
      <w:pPr>
        <w:autoSpaceDE w:val="0"/>
        <w:autoSpaceDN w:val="0"/>
        <w:adjustRightInd w:val="0"/>
        <w:spacing w:before="0" w:after="0"/>
        <w:rPr>
          <w:rFonts w:ascii="MS Shell Dlg 2" w:hAnsi="MS Shell Dlg 2" w:cs="MS Shell Dlg 2"/>
          <w:color w:val="C00000"/>
          <w:sz w:val="16"/>
          <w:szCs w:val="16"/>
        </w:rPr>
      </w:pPr>
      <w:r w:rsidRPr="000E0F1D">
        <w:rPr>
          <w:rFonts w:ascii="MS Shell Dlg 2" w:hAnsi="MS Shell Dlg 2" w:cs="MS Shell Dlg 2"/>
          <w:color w:val="C00000"/>
          <w:sz w:val="16"/>
          <w:szCs w:val="16"/>
        </w:rPr>
        <w:t xml:space="preserve">NOTE: </w:t>
      </w:r>
      <w:r>
        <w:rPr>
          <w:rFonts w:ascii="MS Shell Dlg 2" w:hAnsi="MS Shell Dlg 2" w:cs="MS Shell Dlg 2"/>
          <w:color w:val="C00000"/>
          <w:sz w:val="16"/>
          <w:szCs w:val="16"/>
        </w:rPr>
        <w:t>This task should not be started except for mailboxes that have completed successfully, at least once, in dry-run mode</w:t>
      </w:r>
      <w:r w:rsidRPr="000E0F1D">
        <w:rPr>
          <w:rFonts w:ascii="MS Shell Dlg 2" w:hAnsi="MS Shell Dlg 2" w:cs="MS Shell Dlg 2"/>
          <w:color w:val="C00000"/>
          <w:sz w:val="16"/>
          <w:szCs w:val="16"/>
        </w:rPr>
        <w:t>.</w:t>
      </w:r>
      <w:r>
        <w:rPr>
          <w:rFonts w:ascii="MS Shell Dlg 2" w:hAnsi="MS Shell Dlg 2" w:cs="MS Shell Dlg 2"/>
          <w:color w:val="C00000"/>
          <w:sz w:val="16"/>
          <w:szCs w:val="16"/>
        </w:rPr>
        <w:t xml:space="preserve">  Dry-run metrics are fundamental for this task.</w:t>
      </w:r>
    </w:p>
    <w:p w14:paraId="6AD025CC" w14:textId="77777777" w:rsidR="00F91153" w:rsidRPr="000E0F1D" w:rsidRDefault="00F91153" w:rsidP="00F91153">
      <w:pPr>
        <w:autoSpaceDE w:val="0"/>
        <w:autoSpaceDN w:val="0"/>
        <w:adjustRightInd w:val="0"/>
        <w:spacing w:before="0" w:after="0"/>
        <w:rPr>
          <w:rFonts w:ascii="MS Shell Dlg 2" w:hAnsi="MS Shell Dlg 2" w:cs="MS Shell Dlg 2"/>
          <w:sz w:val="16"/>
          <w:szCs w:val="16"/>
        </w:rPr>
      </w:pPr>
    </w:p>
    <w:p w14:paraId="4E46E591" w14:textId="77777777" w:rsidR="00F91153" w:rsidRPr="000E0F1D" w:rsidRDefault="00F91153" w:rsidP="00F91153">
      <w:pPr>
        <w:autoSpaceDE w:val="0"/>
        <w:autoSpaceDN w:val="0"/>
        <w:adjustRightInd w:val="0"/>
        <w:spacing w:before="0" w:after="0"/>
        <w:rPr>
          <w:rFonts w:ascii="MS Shell Dlg 2" w:hAnsi="MS Shell Dlg 2" w:cs="MS Shell Dlg 2"/>
          <w:sz w:val="16"/>
          <w:szCs w:val="16"/>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53"/>
        <w:gridCol w:w="2402"/>
        <w:gridCol w:w="7735"/>
      </w:tblGrid>
      <w:tr w:rsidR="00F91153" w:rsidRPr="000E0F1D" w14:paraId="3E8BBFD6" w14:textId="77777777" w:rsidTr="00117CE6">
        <w:tc>
          <w:tcPr>
            <w:tcW w:w="10790" w:type="dxa"/>
            <w:gridSpan w:val="3"/>
            <w:shd w:val="clear" w:color="auto" w:fill="DBE5F1" w:themeFill="accent1" w:themeFillTint="33"/>
          </w:tcPr>
          <w:p w14:paraId="10E1B93B" w14:textId="77777777" w:rsidR="00F91153" w:rsidRPr="000E0F1D" w:rsidRDefault="00F91153" w:rsidP="00117CE6">
            <w:pPr>
              <w:tabs>
                <w:tab w:val="left" w:pos="3457"/>
              </w:tabs>
              <w:outlineLvl w:val="1"/>
              <w:rPr>
                <w:rFonts w:asciiTheme="majorHAnsi" w:hAnsiTheme="majorHAnsi"/>
                <w:b/>
                <w:caps/>
                <w:sz w:val="20"/>
              </w:rPr>
            </w:pPr>
            <w:r>
              <w:rPr>
                <w:rFonts w:asciiTheme="majorHAnsi" w:hAnsiTheme="majorHAnsi"/>
                <w:b/>
                <w:caps/>
                <w:sz w:val="20"/>
              </w:rPr>
              <w:t>Batching and Orchestration</w:t>
            </w:r>
            <w:r w:rsidRPr="000E0F1D">
              <w:rPr>
                <w:rFonts w:asciiTheme="majorHAnsi" w:hAnsiTheme="majorHAnsi"/>
                <w:b/>
                <w:caps/>
                <w:sz w:val="20"/>
              </w:rPr>
              <w:t xml:space="preserve"> CHECKLIST </w:t>
            </w:r>
            <w:r w:rsidRPr="000E0F1D">
              <w:rPr>
                <w:rFonts w:asciiTheme="majorHAnsi" w:hAnsiTheme="majorHAnsi"/>
                <w:b/>
                <w:caps/>
                <w:sz w:val="24"/>
              </w:rPr>
              <w:tab/>
            </w:r>
            <w:r w:rsidRPr="000E0F1D">
              <w:rPr>
                <w:rFonts w:asciiTheme="majorHAnsi" w:hAnsiTheme="majorHAnsi"/>
                <w:b/>
                <w:caps/>
                <w:sz w:val="24"/>
              </w:rPr>
              <w:br/>
            </w:r>
            <w:r w:rsidRPr="000E0F1D">
              <w:rPr>
                <w:rFonts w:asciiTheme="majorHAnsi" w:hAnsiTheme="majorHAnsi"/>
                <w:caps/>
                <w:sz w:val="16"/>
              </w:rPr>
              <w:t>Elements below are presented in the recommended order of operation.</w:t>
            </w:r>
          </w:p>
        </w:tc>
      </w:tr>
      <w:tr w:rsidR="00F91153" w:rsidRPr="000E0F1D" w14:paraId="36A658AD" w14:textId="77777777" w:rsidTr="00117CE6">
        <w:tc>
          <w:tcPr>
            <w:tcW w:w="653" w:type="dxa"/>
          </w:tcPr>
          <w:p w14:paraId="124B3F73" w14:textId="77777777" w:rsidR="00F91153" w:rsidRPr="000E0F1D" w:rsidRDefault="00F91153" w:rsidP="00117CE6">
            <w:r w:rsidRPr="000E0F1D">
              <w:fldChar w:fldCharType="begin">
                <w:ffData>
                  <w:name w:val="Check1"/>
                  <w:enabled/>
                  <w:calcOnExit w:val="0"/>
                  <w:checkBox>
                    <w:sizeAuto/>
                    <w:default w:val="0"/>
                  </w:checkBox>
                </w:ffData>
              </w:fldChar>
            </w:r>
            <w:r w:rsidRPr="000E0F1D">
              <w:instrText xml:space="preserve"> FORMCHECKBOX </w:instrText>
            </w:r>
            <w:r w:rsidR="00E97EBD">
              <w:fldChar w:fldCharType="separate"/>
            </w:r>
            <w:r w:rsidRPr="000E0F1D">
              <w:fldChar w:fldCharType="end"/>
            </w:r>
          </w:p>
        </w:tc>
        <w:tc>
          <w:tcPr>
            <w:tcW w:w="2402" w:type="dxa"/>
          </w:tcPr>
          <w:p w14:paraId="6BCDD5EC" w14:textId="77777777" w:rsidR="00F91153" w:rsidRPr="000E0F1D" w:rsidRDefault="00F91153" w:rsidP="00117CE6">
            <w:r>
              <w:t>Discussion of key elements</w:t>
            </w:r>
          </w:p>
        </w:tc>
        <w:tc>
          <w:tcPr>
            <w:tcW w:w="7735" w:type="dxa"/>
          </w:tcPr>
          <w:p w14:paraId="5294B2F3" w14:textId="77777777" w:rsidR="00F91153" w:rsidRDefault="00F91153" w:rsidP="00117CE6">
            <w:pPr>
              <w:contextualSpacing/>
            </w:pPr>
            <w:r>
              <w:t>Priasoft will lead the discussion around the key elements to consider for this task:</w:t>
            </w:r>
          </w:p>
          <w:p w14:paraId="2DA1E3A1" w14:textId="77777777" w:rsidR="00F91153" w:rsidRPr="000E0F1D" w:rsidRDefault="00F91153" w:rsidP="00F91153">
            <w:pPr>
              <w:pStyle w:val="ListParagraph"/>
            </w:pPr>
          </w:p>
        </w:tc>
      </w:tr>
    </w:tbl>
    <w:p w14:paraId="26A4BFBD" w14:textId="77777777" w:rsidR="00F91153" w:rsidRPr="000E0F1D" w:rsidRDefault="00F91153" w:rsidP="00F91153"/>
    <w:p w14:paraId="195C75CD" w14:textId="77777777" w:rsidR="00F91153" w:rsidRDefault="00F91153" w:rsidP="00F91153"/>
    <w:p w14:paraId="0B1FFF89" w14:textId="77777777" w:rsidR="004B04D4" w:rsidRDefault="004B04D4"/>
    <w:sectPr w:rsidR="004B04D4" w:rsidSect="00CC063A">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6E01A" w14:textId="77777777" w:rsidR="004B3518" w:rsidRDefault="004B3518">
      <w:r>
        <w:separator/>
      </w:r>
    </w:p>
  </w:endnote>
  <w:endnote w:type="continuationSeparator" w:id="0">
    <w:p w14:paraId="094FCA1C" w14:textId="77777777" w:rsidR="004B3518" w:rsidRDefault="004B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9AD0" w14:textId="77777777" w:rsidR="004E67DC" w:rsidRDefault="004E67D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5DDE" w14:textId="77777777" w:rsidR="004B3518" w:rsidRDefault="004B3518">
      <w:r>
        <w:separator/>
      </w:r>
    </w:p>
  </w:footnote>
  <w:footnote w:type="continuationSeparator" w:id="0">
    <w:p w14:paraId="16F2E7FE" w14:textId="77777777" w:rsidR="004B3518" w:rsidRDefault="004B3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D843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D0F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6E93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B92CC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008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964A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6C97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64D6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2ADB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E07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1" w15:restartNumberingAfterBreak="0">
    <w:nsid w:val="155C20D1"/>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13" w15:restartNumberingAfterBreak="0">
    <w:nsid w:val="26CC149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470526"/>
    <w:multiLevelType w:val="multilevel"/>
    <w:tmpl w:val="899A7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AC4476"/>
    <w:multiLevelType w:val="multilevel"/>
    <w:tmpl w:val="807A393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DE3536"/>
    <w:multiLevelType w:val="hybridMultilevel"/>
    <w:tmpl w:val="5E8C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B265D"/>
    <w:multiLevelType w:val="multilevel"/>
    <w:tmpl w:val="B9A6A8BE"/>
    <w:lvl w:ilvl="0">
      <w:start w:val="1"/>
      <w:numFmt w:val="decimal"/>
      <w:lvlText w:val="%1."/>
      <w:lvlJc w:val="left"/>
      <w:pPr>
        <w:tabs>
          <w:tab w:val="num" w:pos="288"/>
        </w:tabs>
        <w:ind w:left="0" w:firstLine="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7ED0E04"/>
    <w:multiLevelType w:val="hybridMultilevel"/>
    <w:tmpl w:val="AFC46D88"/>
    <w:lvl w:ilvl="0" w:tplc="8434666C">
      <w:start w:val="1"/>
      <w:numFmt w:val="decimalZero"/>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26E30"/>
    <w:multiLevelType w:val="hybridMultilevel"/>
    <w:tmpl w:val="D83C3664"/>
    <w:lvl w:ilvl="0" w:tplc="888260A4">
      <w:start w:val="1"/>
      <w:numFmt w:val="bullet"/>
      <w:lvlText w:val=""/>
      <w:lvlJc w:val="left"/>
      <w:pPr>
        <w:ind w:left="720" w:hanging="360"/>
      </w:pPr>
      <w:rPr>
        <w:rFonts w:ascii="Symbol" w:eastAsia="Times New Roman" w:hAnsi="Symbol" w:cs="Times New Roman"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7640E7"/>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3A6B9D"/>
    <w:multiLevelType w:val="multilevel"/>
    <w:tmpl w:val="102CB7A6"/>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D2C2343"/>
    <w:multiLevelType w:val="multilevel"/>
    <w:tmpl w:val="4692CF7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14434C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7E7DB0"/>
    <w:multiLevelType w:val="multilevel"/>
    <w:tmpl w:val="513A9C1E"/>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FA614DD"/>
    <w:multiLevelType w:val="hybridMultilevel"/>
    <w:tmpl w:val="68EC8C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97888"/>
    <w:multiLevelType w:val="multilevel"/>
    <w:tmpl w:val="3C66A122"/>
    <w:lvl w:ilvl="0">
      <w:start w:val="1"/>
      <w:numFmt w:val="decimal"/>
      <w:lvlText w:val="%1."/>
      <w:lvlJc w:val="left"/>
      <w:pPr>
        <w:tabs>
          <w:tab w:val="num" w:pos="720"/>
        </w:tabs>
        <w:ind w:left="72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6AB54AD"/>
    <w:multiLevelType w:val="multilevel"/>
    <w:tmpl w:val="1FB4A1F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A1132DB"/>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12815457">
    <w:abstractNumId w:val="31"/>
  </w:num>
  <w:num w:numId="2" w16cid:durableId="2074501697">
    <w:abstractNumId w:val="10"/>
  </w:num>
  <w:num w:numId="3" w16cid:durableId="1487938726">
    <w:abstractNumId w:val="15"/>
  </w:num>
  <w:num w:numId="4" w16cid:durableId="1450319362">
    <w:abstractNumId w:val="14"/>
  </w:num>
  <w:num w:numId="5" w16cid:durableId="547843894">
    <w:abstractNumId w:val="13"/>
  </w:num>
  <w:num w:numId="6" w16cid:durableId="692608677">
    <w:abstractNumId w:val="29"/>
  </w:num>
  <w:num w:numId="7" w16cid:durableId="1264069379">
    <w:abstractNumId w:val="11"/>
  </w:num>
  <w:num w:numId="8" w16cid:durableId="1797481015">
    <w:abstractNumId w:val="34"/>
  </w:num>
  <w:num w:numId="9" w16cid:durableId="1690908830">
    <w:abstractNumId w:val="19"/>
  </w:num>
  <w:num w:numId="10" w16cid:durableId="1848328556">
    <w:abstractNumId w:val="27"/>
  </w:num>
  <w:num w:numId="11" w16cid:durableId="1937711549">
    <w:abstractNumId w:val="16"/>
  </w:num>
  <w:num w:numId="12" w16cid:durableId="778990616">
    <w:abstractNumId w:val="32"/>
  </w:num>
  <w:num w:numId="13" w16cid:durableId="520826842">
    <w:abstractNumId w:val="21"/>
  </w:num>
  <w:num w:numId="14" w16cid:durableId="1365519625">
    <w:abstractNumId w:val="17"/>
  </w:num>
  <w:num w:numId="15" w16cid:durableId="2012221503">
    <w:abstractNumId w:val="28"/>
  </w:num>
  <w:num w:numId="16" w16cid:durableId="1294143308">
    <w:abstractNumId w:val="30"/>
  </w:num>
  <w:num w:numId="17" w16cid:durableId="1718167018">
    <w:abstractNumId w:val="35"/>
  </w:num>
  <w:num w:numId="18" w16cid:durableId="1940874300">
    <w:abstractNumId w:val="26"/>
  </w:num>
  <w:num w:numId="19" w16cid:durableId="340205350">
    <w:abstractNumId w:val="25"/>
  </w:num>
  <w:num w:numId="20" w16cid:durableId="1590889892">
    <w:abstractNumId w:val="36"/>
  </w:num>
  <w:num w:numId="21" w16cid:durableId="1383478268">
    <w:abstractNumId w:val="24"/>
  </w:num>
  <w:num w:numId="22" w16cid:durableId="1508979080">
    <w:abstractNumId w:val="12"/>
  </w:num>
  <w:num w:numId="23" w16cid:durableId="232550152">
    <w:abstractNumId w:val="8"/>
  </w:num>
  <w:num w:numId="24" w16cid:durableId="269900281">
    <w:abstractNumId w:val="22"/>
  </w:num>
  <w:num w:numId="25" w16cid:durableId="293298713">
    <w:abstractNumId w:val="9"/>
  </w:num>
  <w:num w:numId="26" w16cid:durableId="1821843566">
    <w:abstractNumId w:val="7"/>
  </w:num>
  <w:num w:numId="27" w16cid:durableId="121461908">
    <w:abstractNumId w:val="6"/>
  </w:num>
  <w:num w:numId="28" w16cid:durableId="1495729223">
    <w:abstractNumId w:val="5"/>
  </w:num>
  <w:num w:numId="29" w16cid:durableId="1102258102">
    <w:abstractNumId w:val="4"/>
  </w:num>
  <w:num w:numId="30" w16cid:durableId="1478569577">
    <w:abstractNumId w:val="3"/>
  </w:num>
  <w:num w:numId="31" w16cid:durableId="1061517370">
    <w:abstractNumId w:val="2"/>
  </w:num>
  <w:num w:numId="32" w16cid:durableId="1538078131">
    <w:abstractNumId w:val="1"/>
  </w:num>
  <w:num w:numId="33" w16cid:durableId="1377316455">
    <w:abstractNumId w:val="0"/>
  </w:num>
  <w:num w:numId="34" w16cid:durableId="1384014850">
    <w:abstractNumId w:val="18"/>
  </w:num>
  <w:num w:numId="35" w16cid:durableId="1026564496">
    <w:abstractNumId w:val="33"/>
  </w:num>
  <w:num w:numId="36" w16cid:durableId="1727483335">
    <w:abstractNumId w:val="23"/>
  </w:num>
  <w:num w:numId="37" w16cid:durableId="16036062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438"/>
    <w:rsid w:val="00034557"/>
    <w:rsid w:val="00055625"/>
    <w:rsid w:val="000677A9"/>
    <w:rsid w:val="00080433"/>
    <w:rsid w:val="00082F86"/>
    <w:rsid w:val="00086801"/>
    <w:rsid w:val="00090054"/>
    <w:rsid w:val="000A3698"/>
    <w:rsid w:val="000D7D67"/>
    <w:rsid w:val="000E0F1D"/>
    <w:rsid w:val="000F3B2D"/>
    <w:rsid w:val="001001B1"/>
    <w:rsid w:val="001003E1"/>
    <w:rsid w:val="001011CF"/>
    <w:rsid w:val="00115510"/>
    <w:rsid w:val="00117CE6"/>
    <w:rsid w:val="0012571E"/>
    <w:rsid w:val="00125CCB"/>
    <w:rsid w:val="00137DF3"/>
    <w:rsid w:val="00157CA0"/>
    <w:rsid w:val="00172448"/>
    <w:rsid w:val="001A7990"/>
    <w:rsid w:val="001B5C06"/>
    <w:rsid w:val="001C0E43"/>
    <w:rsid w:val="001D7C6F"/>
    <w:rsid w:val="001E3406"/>
    <w:rsid w:val="00227191"/>
    <w:rsid w:val="002308AA"/>
    <w:rsid w:val="00267DF9"/>
    <w:rsid w:val="002906E7"/>
    <w:rsid w:val="002A3F76"/>
    <w:rsid w:val="002D08E7"/>
    <w:rsid w:val="002F6283"/>
    <w:rsid w:val="00300366"/>
    <w:rsid w:val="003119FB"/>
    <w:rsid w:val="00311B83"/>
    <w:rsid w:val="0031256D"/>
    <w:rsid w:val="00320630"/>
    <w:rsid w:val="003444D6"/>
    <w:rsid w:val="003618B9"/>
    <w:rsid w:val="00366D88"/>
    <w:rsid w:val="003761C5"/>
    <w:rsid w:val="00381731"/>
    <w:rsid w:val="0039132C"/>
    <w:rsid w:val="003A15E4"/>
    <w:rsid w:val="003A1BC2"/>
    <w:rsid w:val="003C4D04"/>
    <w:rsid w:val="003C528E"/>
    <w:rsid w:val="003F04D9"/>
    <w:rsid w:val="003F5A11"/>
    <w:rsid w:val="00402D4B"/>
    <w:rsid w:val="00407240"/>
    <w:rsid w:val="0041579F"/>
    <w:rsid w:val="0041607A"/>
    <w:rsid w:val="004259BC"/>
    <w:rsid w:val="0043454D"/>
    <w:rsid w:val="00443B02"/>
    <w:rsid w:val="00454615"/>
    <w:rsid w:val="004567F4"/>
    <w:rsid w:val="00464875"/>
    <w:rsid w:val="0048031C"/>
    <w:rsid w:val="00483015"/>
    <w:rsid w:val="004B04D4"/>
    <w:rsid w:val="004B0AE9"/>
    <w:rsid w:val="004B3518"/>
    <w:rsid w:val="004E60AE"/>
    <w:rsid w:val="004E67DC"/>
    <w:rsid w:val="005071A2"/>
    <w:rsid w:val="00522532"/>
    <w:rsid w:val="00555994"/>
    <w:rsid w:val="00560949"/>
    <w:rsid w:val="005758EB"/>
    <w:rsid w:val="005769A8"/>
    <w:rsid w:val="00581A1A"/>
    <w:rsid w:val="00583A9C"/>
    <w:rsid w:val="005E29C8"/>
    <w:rsid w:val="006001D2"/>
    <w:rsid w:val="00610858"/>
    <w:rsid w:val="006238C8"/>
    <w:rsid w:val="00643BDC"/>
    <w:rsid w:val="006503DA"/>
    <w:rsid w:val="00673A04"/>
    <w:rsid w:val="00686AF1"/>
    <w:rsid w:val="006A1E88"/>
    <w:rsid w:val="006C1BD5"/>
    <w:rsid w:val="007137A7"/>
    <w:rsid w:val="00754382"/>
    <w:rsid w:val="007765DD"/>
    <w:rsid w:val="0078313D"/>
    <w:rsid w:val="00795C10"/>
    <w:rsid w:val="00797844"/>
    <w:rsid w:val="007A6235"/>
    <w:rsid w:val="007C3CBB"/>
    <w:rsid w:val="007C42A8"/>
    <w:rsid w:val="00824ADF"/>
    <w:rsid w:val="00830E62"/>
    <w:rsid w:val="008339B5"/>
    <w:rsid w:val="00834456"/>
    <w:rsid w:val="008374C4"/>
    <w:rsid w:val="00891FD6"/>
    <w:rsid w:val="008A309A"/>
    <w:rsid w:val="009142CB"/>
    <w:rsid w:val="009360E8"/>
    <w:rsid w:val="00951F08"/>
    <w:rsid w:val="0096077E"/>
    <w:rsid w:val="00970715"/>
    <w:rsid w:val="00980A6C"/>
    <w:rsid w:val="00995223"/>
    <w:rsid w:val="009B2759"/>
    <w:rsid w:val="009B7CF2"/>
    <w:rsid w:val="009C0F7C"/>
    <w:rsid w:val="009D697A"/>
    <w:rsid w:val="00A45F9E"/>
    <w:rsid w:val="00A50321"/>
    <w:rsid w:val="00A51E9F"/>
    <w:rsid w:val="00A54D2E"/>
    <w:rsid w:val="00A90460"/>
    <w:rsid w:val="00A974CD"/>
    <w:rsid w:val="00AC58A3"/>
    <w:rsid w:val="00AD7B87"/>
    <w:rsid w:val="00B0145D"/>
    <w:rsid w:val="00B11EE0"/>
    <w:rsid w:val="00B67C5A"/>
    <w:rsid w:val="00B75A27"/>
    <w:rsid w:val="00B97760"/>
    <w:rsid w:val="00C145F4"/>
    <w:rsid w:val="00C16870"/>
    <w:rsid w:val="00C34FB6"/>
    <w:rsid w:val="00C36E89"/>
    <w:rsid w:val="00C4126C"/>
    <w:rsid w:val="00C45FDC"/>
    <w:rsid w:val="00C73658"/>
    <w:rsid w:val="00CA3573"/>
    <w:rsid w:val="00CB47FD"/>
    <w:rsid w:val="00CC063A"/>
    <w:rsid w:val="00CC59BB"/>
    <w:rsid w:val="00D36A80"/>
    <w:rsid w:val="00D42B20"/>
    <w:rsid w:val="00D43438"/>
    <w:rsid w:val="00D827D3"/>
    <w:rsid w:val="00DA21A2"/>
    <w:rsid w:val="00DB0C25"/>
    <w:rsid w:val="00DE5986"/>
    <w:rsid w:val="00E37280"/>
    <w:rsid w:val="00E41884"/>
    <w:rsid w:val="00E4280F"/>
    <w:rsid w:val="00E911CF"/>
    <w:rsid w:val="00E97EBD"/>
    <w:rsid w:val="00EA3E64"/>
    <w:rsid w:val="00EE40E1"/>
    <w:rsid w:val="00F03B50"/>
    <w:rsid w:val="00F27301"/>
    <w:rsid w:val="00F3153F"/>
    <w:rsid w:val="00F36B48"/>
    <w:rsid w:val="00F86A05"/>
    <w:rsid w:val="00F91153"/>
    <w:rsid w:val="00FA696F"/>
    <w:rsid w:val="00FA73AC"/>
    <w:rsid w:val="00FA7A52"/>
    <w:rsid w:val="00FC127B"/>
    <w:rsid w:val="00FD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AF542"/>
  <w15:docId w15:val="{75C42024-CAF7-4A65-9BB0-E5FD3A0E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A11"/>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24"/>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character" w:styleId="Hyperlink">
    <w:name w:val="Hyperlink"/>
    <w:basedOn w:val="DefaultParagraphFont"/>
    <w:unhideWhenUsed/>
    <w:rsid w:val="009B7CF2"/>
    <w:rPr>
      <w:color w:val="0000FF" w:themeColor="hyperlink"/>
      <w:u w:val="single"/>
    </w:rPr>
  </w:style>
  <w:style w:type="character" w:styleId="FollowedHyperlink">
    <w:name w:val="FollowedHyperlink"/>
    <w:basedOn w:val="DefaultParagraphFont"/>
    <w:semiHidden/>
    <w:unhideWhenUsed/>
    <w:rsid w:val="00F36B48"/>
    <w:rPr>
      <w:color w:val="800080" w:themeColor="followedHyperlink"/>
      <w:u w:val="single"/>
    </w:rPr>
  </w:style>
  <w:style w:type="character" w:customStyle="1" w:styleId="Heading2Char">
    <w:name w:val="Heading 2 Char"/>
    <w:basedOn w:val="DefaultParagraphFont"/>
    <w:link w:val="Heading2"/>
    <w:rsid w:val="004B04D4"/>
    <w:rPr>
      <w:rFonts w:asciiTheme="majorHAnsi" w:hAnsiTheme="majorHAnsi"/>
      <w:b/>
      <w:caps/>
      <w:szCs w:val="24"/>
    </w:rPr>
  </w:style>
  <w:style w:type="paragraph" w:styleId="ListParagraph">
    <w:name w:val="List Paragraph"/>
    <w:basedOn w:val="Normal"/>
    <w:uiPriority w:val="34"/>
    <w:unhideWhenUsed/>
    <w:qFormat/>
    <w:rsid w:val="004B04D4"/>
    <w:pPr>
      <w:ind w:left="720"/>
      <w:contextualSpacing/>
    </w:pPr>
  </w:style>
  <w:style w:type="character" w:styleId="UnresolvedMention">
    <w:name w:val="Unresolved Mention"/>
    <w:basedOn w:val="DefaultParagraphFont"/>
    <w:uiPriority w:val="99"/>
    <w:semiHidden/>
    <w:unhideWhenUsed/>
    <w:rsid w:val="00443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iasoft.com/downloads/applications" TargetMode="External"/><Relationship Id="rId4" Type="http://schemas.openxmlformats.org/officeDocument/2006/relationships/settings" Target="settings.xml"/><Relationship Id="rId9" Type="http://schemas.openxmlformats.org/officeDocument/2006/relationships/hyperlink" Target="https://www.priasoft.com/wp-content/uploads/documents/PriasoftSolutions-SetupGuidev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q\AppData\Roaming\Microsoft\Templates\New%20company%20setup%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36CC7C-DA53-4DD8-A70B-E32CA10B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company setup checklist.dotx</Template>
  <TotalTime>10234</TotalTime>
  <Pages>11</Pages>
  <Words>3931</Words>
  <Characters>22329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subject/>
  <dc:creator>Eriq VanBibber</dc:creator>
  <cp:keywords/>
  <dc:description/>
  <cp:lastModifiedBy>Eriq VanBibber</cp:lastModifiedBy>
  <cp:revision>30</cp:revision>
  <cp:lastPrinted>2005-08-26T17:15:00Z</cp:lastPrinted>
  <dcterms:created xsi:type="dcterms:W3CDTF">2017-06-27T15:07:00Z</dcterms:created>
  <dcterms:modified xsi:type="dcterms:W3CDTF">2022-12-15T16:32:00Z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ies>
</file>